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5CE" w:rsidRPr="00373B11" w:rsidRDefault="003B55CE" w:rsidP="003B55CE">
      <w:pPr>
        <w:jc w:val="center"/>
        <w:rPr>
          <w:rFonts w:ascii="Alef" w:hAnsi="Alef" w:cs="Alef"/>
          <w:b/>
          <w:bCs/>
          <w:u w:val="single"/>
          <w:rtl/>
        </w:rPr>
      </w:pPr>
      <w:r w:rsidRPr="00373B11">
        <w:rPr>
          <w:rFonts w:ascii="Alef" w:hAnsi="Alef" w:cs="Alef"/>
          <w:b/>
          <w:bCs/>
          <w:u w:val="single"/>
          <w:rtl/>
        </w:rPr>
        <w:t xml:space="preserve">טיוטת גילוי דעת </w:t>
      </w:r>
      <w:r>
        <w:rPr>
          <w:rFonts w:ascii="Alef" w:hAnsi="Alef" w:cs="Alef" w:hint="cs"/>
          <w:b/>
          <w:bCs/>
          <w:u w:val="single"/>
          <w:rtl/>
        </w:rPr>
        <w:t>1/21</w:t>
      </w:r>
      <w:r w:rsidRPr="00373B11">
        <w:rPr>
          <w:rFonts w:ascii="Alef" w:hAnsi="Alef" w:cs="Alef"/>
          <w:b/>
          <w:bCs/>
          <w:u w:val="single"/>
          <w:rtl/>
        </w:rPr>
        <w:t xml:space="preserve">– חבירה </w:t>
      </w:r>
      <w:r>
        <w:rPr>
          <w:rFonts w:ascii="Alef" w:hAnsi="Alef" w:cs="Alef" w:hint="cs"/>
          <w:b/>
          <w:bCs/>
          <w:u w:val="single"/>
          <w:rtl/>
        </w:rPr>
        <w:t>בין מתחרים לצורך הגשת הצעה משותפת במכרז</w:t>
      </w:r>
    </w:p>
    <w:p w:rsidR="003B55CE" w:rsidRPr="00793AEF" w:rsidRDefault="003B55CE" w:rsidP="003B55CE">
      <w:pPr>
        <w:pStyle w:val="ListParagraph"/>
        <w:numPr>
          <w:ilvl w:val="0"/>
          <w:numId w:val="14"/>
        </w:numPr>
        <w:spacing w:after="160" w:line="259" w:lineRule="auto"/>
        <w:rPr>
          <w:rFonts w:ascii="Alef" w:hAnsi="Alef" w:cs="Alef"/>
          <w:rtl/>
        </w:rPr>
      </w:pPr>
      <w:r w:rsidRPr="00793AEF">
        <w:rPr>
          <w:rFonts w:ascii="Alef" w:hAnsi="Alef" w:cs="Alef"/>
          <w:b/>
          <w:bCs/>
          <w:rtl/>
        </w:rPr>
        <w:t>מבוא</w:t>
      </w:r>
    </w:p>
    <w:p w:rsidR="003B55CE" w:rsidRDefault="003B55CE" w:rsidP="003B55CE">
      <w:pPr>
        <w:jc w:val="both"/>
        <w:rPr>
          <w:rFonts w:ascii="Alef" w:hAnsi="Alef" w:cs="Alef"/>
          <w:rtl/>
        </w:rPr>
      </w:pPr>
      <w:bookmarkStart w:id="0" w:name="_GoBack"/>
      <w:r>
        <w:rPr>
          <w:rFonts w:ascii="Alef" w:hAnsi="Alef" w:cs="Alef" w:hint="cs"/>
          <w:rtl/>
        </w:rPr>
        <w:t xml:space="preserve">גילוי דעת זה נועד </w:t>
      </w:r>
      <w:r w:rsidRPr="00373B11">
        <w:rPr>
          <w:rFonts w:ascii="Alef" w:hAnsi="Alef" w:cs="Alef"/>
          <w:rtl/>
        </w:rPr>
        <w:t>לה</w:t>
      </w:r>
      <w:r>
        <w:rPr>
          <w:rFonts w:ascii="Alef" w:hAnsi="Alef" w:cs="Alef" w:hint="cs"/>
          <w:rtl/>
        </w:rPr>
        <w:t>בהיר</w:t>
      </w:r>
      <w:r w:rsidRPr="00373B11">
        <w:rPr>
          <w:rFonts w:ascii="Alef" w:hAnsi="Alef" w:cs="Alef"/>
          <w:rtl/>
        </w:rPr>
        <w:t xml:space="preserve"> </w:t>
      </w:r>
      <w:r>
        <w:rPr>
          <w:rFonts w:ascii="Alef" w:hAnsi="Alef" w:cs="Alef" w:hint="cs"/>
          <w:rtl/>
        </w:rPr>
        <w:t>לציבור כי לעמדת הממונה על התחרות ("</w:t>
      </w:r>
      <w:r w:rsidRPr="003B55CE">
        <w:rPr>
          <w:rFonts w:ascii="Alef" w:hAnsi="Alef" w:cs="Alef" w:hint="cs"/>
          <w:b/>
          <w:bCs/>
          <w:rtl/>
        </w:rPr>
        <w:t>הממונה</w:t>
      </w:r>
      <w:r>
        <w:rPr>
          <w:rFonts w:ascii="Alef" w:hAnsi="Alef" w:cs="Alef" w:hint="cs"/>
          <w:rtl/>
        </w:rPr>
        <w:t xml:space="preserve">"), חבירה בין מתחרים לצורך הגשת הצעה במכרז מהווה הסדר כובל, גם אם החבירה נעשתה טרם שלב המיון המוקדם ולא  בשלב המכרז עצמו. </w:t>
      </w:r>
      <w:bookmarkEnd w:id="0"/>
      <w:r>
        <w:rPr>
          <w:rFonts w:ascii="Alef" w:hAnsi="Alef" w:cs="Alef" w:hint="cs"/>
          <w:rtl/>
        </w:rPr>
        <w:t>חלק מן החבירות מחייבות קבלת היתר ממערך הפיקוח על הסדרים כובלים טרם ביצוען.</w:t>
      </w:r>
      <w:r w:rsidRPr="00373B11">
        <w:rPr>
          <w:rFonts w:ascii="Alef" w:hAnsi="Alef" w:cs="Alef"/>
          <w:rtl/>
        </w:rPr>
        <w:t xml:space="preserve"> </w:t>
      </w:r>
      <w:r>
        <w:rPr>
          <w:rFonts w:ascii="Alef" w:hAnsi="Alef" w:cs="Alef" w:hint="cs"/>
          <w:rtl/>
        </w:rPr>
        <w:t>כמו כן, גילוי הדעת נועד להבהיר לציבור מהם ה</w:t>
      </w:r>
      <w:r w:rsidRPr="00373B11">
        <w:rPr>
          <w:rFonts w:ascii="Alef" w:hAnsi="Alef" w:cs="Alef"/>
          <w:rtl/>
        </w:rPr>
        <w:t xml:space="preserve">שיקולים המנחים את </w:t>
      </w:r>
      <w:r>
        <w:rPr>
          <w:rFonts w:ascii="Alef" w:hAnsi="Alef" w:cs="Alef" w:hint="cs"/>
          <w:rtl/>
        </w:rPr>
        <w:t xml:space="preserve">הממונה </w:t>
      </w:r>
      <w:r w:rsidRPr="00373B11">
        <w:rPr>
          <w:rFonts w:ascii="Alef" w:hAnsi="Alef" w:cs="Alef"/>
          <w:rtl/>
        </w:rPr>
        <w:t xml:space="preserve">בעת </w:t>
      </w:r>
      <w:r>
        <w:rPr>
          <w:rFonts w:ascii="Alef" w:hAnsi="Alef" w:cs="Alef" w:hint="cs"/>
          <w:rtl/>
        </w:rPr>
        <w:t>בחינת בקשות פטור מאישור הסדר כובל על פי סעיף 14 לחוק התחרות הכלכלית, תשמ"ח 1988 (</w:t>
      </w:r>
      <w:r>
        <w:rPr>
          <w:rFonts w:ascii="Alef" w:hAnsi="Alef" w:cs="Alef" w:hint="cs"/>
          <w:b/>
          <w:bCs/>
          <w:rtl/>
        </w:rPr>
        <w:t>"</w:t>
      </w:r>
      <w:r w:rsidRPr="00B062E8">
        <w:rPr>
          <w:rFonts w:ascii="Alef" w:hAnsi="Alef" w:cs="Alef" w:hint="cs"/>
          <w:b/>
          <w:bCs/>
          <w:rtl/>
        </w:rPr>
        <w:t>חוק</w:t>
      </w:r>
      <w:r>
        <w:rPr>
          <w:rFonts w:ascii="Alef" w:hAnsi="Alef" w:cs="Alef" w:hint="cs"/>
          <w:b/>
          <w:bCs/>
          <w:rtl/>
        </w:rPr>
        <w:t xml:space="preserve"> התחרות הכלכלית</w:t>
      </w:r>
      <w:r>
        <w:rPr>
          <w:rFonts w:ascii="Alef" w:hAnsi="Alef" w:cs="Alef" w:hint="cs"/>
          <w:rtl/>
        </w:rPr>
        <w:t>") הנוגעות להגשת הצעה משותפת של מתחרים במכרז ("</w:t>
      </w:r>
      <w:r w:rsidRPr="00EE5188">
        <w:rPr>
          <w:rFonts w:ascii="Alef" w:hAnsi="Alef" w:cs="Alef" w:hint="eastAsia"/>
          <w:b/>
          <w:bCs/>
          <w:rtl/>
        </w:rPr>
        <w:t>בקשות</w:t>
      </w:r>
      <w:r w:rsidRPr="00EE5188">
        <w:rPr>
          <w:rFonts w:ascii="Alef" w:hAnsi="Alef" w:cs="Alef"/>
          <w:b/>
          <w:bCs/>
          <w:rtl/>
        </w:rPr>
        <w:t xml:space="preserve"> </w:t>
      </w:r>
      <w:r w:rsidRPr="00EE5188">
        <w:rPr>
          <w:rFonts w:ascii="Alef" w:hAnsi="Alef" w:cs="Alef" w:hint="eastAsia"/>
          <w:b/>
          <w:bCs/>
          <w:rtl/>
        </w:rPr>
        <w:t>פטור</w:t>
      </w:r>
      <w:r w:rsidRPr="00EE5188">
        <w:rPr>
          <w:rFonts w:ascii="Alef" w:hAnsi="Alef" w:cs="Alef"/>
          <w:b/>
          <w:bCs/>
          <w:rtl/>
        </w:rPr>
        <w:t xml:space="preserve"> </w:t>
      </w:r>
      <w:r w:rsidRPr="00EE5188">
        <w:rPr>
          <w:rFonts w:ascii="Alef" w:hAnsi="Alef" w:cs="Alef" w:hint="eastAsia"/>
          <w:b/>
          <w:bCs/>
          <w:rtl/>
        </w:rPr>
        <w:t>לחבירה</w:t>
      </w:r>
      <w:r w:rsidRPr="00EE5188">
        <w:rPr>
          <w:rFonts w:ascii="Alef" w:hAnsi="Alef" w:cs="Alef"/>
          <w:b/>
          <w:bCs/>
          <w:rtl/>
        </w:rPr>
        <w:t xml:space="preserve"> </w:t>
      </w:r>
      <w:r>
        <w:rPr>
          <w:rFonts w:ascii="Alef" w:hAnsi="Alef" w:cs="Alef" w:hint="cs"/>
          <w:b/>
          <w:bCs/>
          <w:rtl/>
        </w:rPr>
        <w:t>במכרז</w:t>
      </w:r>
      <w:r>
        <w:rPr>
          <w:rFonts w:ascii="Alef" w:hAnsi="Alef" w:cs="Alef" w:hint="cs"/>
          <w:rtl/>
        </w:rPr>
        <w:t xml:space="preserve">").  </w:t>
      </w:r>
    </w:p>
    <w:p w:rsidR="003B55CE" w:rsidRDefault="003B55CE" w:rsidP="003B55CE">
      <w:pPr>
        <w:pStyle w:val="ListParagraph"/>
        <w:ind w:left="0"/>
        <w:jc w:val="both"/>
        <w:rPr>
          <w:rFonts w:ascii="Alef" w:hAnsi="Alef" w:cs="Alef"/>
          <w:rtl/>
        </w:rPr>
      </w:pPr>
      <w:r w:rsidRPr="00373B11">
        <w:rPr>
          <w:rFonts w:ascii="Alef" w:hAnsi="Alef" w:cs="Alef"/>
          <w:rtl/>
        </w:rPr>
        <w:t xml:space="preserve">ככלל, כאשר </w:t>
      </w:r>
      <w:r w:rsidRPr="00526D3D">
        <w:rPr>
          <w:rFonts w:ascii="Alef" w:hAnsi="Alef" w:cs="Alef"/>
          <w:b/>
          <w:bCs/>
          <w:rtl/>
        </w:rPr>
        <w:t>מתחרים</w:t>
      </w:r>
      <w:r w:rsidRPr="00373B11">
        <w:rPr>
          <w:rFonts w:ascii="Alef" w:hAnsi="Alef" w:cs="Alef"/>
          <w:rtl/>
        </w:rPr>
        <w:t xml:space="preserve"> חוברים ביניהם לצורך הגשת הצעה משותפת במכרז יש</w:t>
      </w:r>
      <w:r>
        <w:rPr>
          <w:rFonts w:ascii="Alef" w:hAnsi="Alef" w:cs="Alef" w:hint="cs"/>
          <w:rtl/>
        </w:rPr>
        <w:t xml:space="preserve"> לראות בחבירתם המשותפת מיזם משותף בין מתחרים. האפשרות ליצור מיזם משותף בין מתחרים באופן העומד בדרישות הדין מוסדרת בכללי ההגבלים העסקיים (פטור סוג למיזמים משותפים) (הוראת שעה), תשס"ו - 2006 ("</w:t>
      </w:r>
      <w:r w:rsidRPr="00EE5188">
        <w:rPr>
          <w:rFonts w:ascii="Alef" w:hAnsi="Alef" w:cs="Alef" w:hint="eastAsia"/>
          <w:b/>
          <w:bCs/>
          <w:rtl/>
        </w:rPr>
        <w:t>פטור</w:t>
      </w:r>
      <w:r w:rsidRPr="00EE5188">
        <w:rPr>
          <w:rFonts w:ascii="Alef" w:hAnsi="Alef" w:cs="Alef"/>
          <w:b/>
          <w:bCs/>
          <w:rtl/>
        </w:rPr>
        <w:t xml:space="preserve"> </w:t>
      </w:r>
      <w:r w:rsidRPr="00EE5188">
        <w:rPr>
          <w:rFonts w:ascii="Alef" w:hAnsi="Alef" w:cs="Alef" w:hint="eastAsia"/>
          <w:b/>
          <w:bCs/>
          <w:rtl/>
        </w:rPr>
        <w:t>הסוג</w:t>
      </w:r>
      <w:r w:rsidRPr="00EE5188">
        <w:rPr>
          <w:rFonts w:ascii="Alef" w:hAnsi="Alef" w:cs="Alef"/>
          <w:b/>
          <w:bCs/>
          <w:rtl/>
        </w:rPr>
        <w:t xml:space="preserve"> </w:t>
      </w:r>
      <w:r w:rsidRPr="00EE5188">
        <w:rPr>
          <w:rFonts w:ascii="Alef" w:hAnsi="Alef" w:cs="Alef" w:hint="eastAsia"/>
          <w:b/>
          <w:bCs/>
          <w:rtl/>
        </w:rPr>
        <w:t>למיזמים</w:t>
      </w:r>
      <w:r w:rsidRPr="00EE5188">
        <w:rPr>
          <w:rFonts w:ascii="Alef" w:hAnsi="Alef" w:cs="Alef"/>
          <w:b/>
          <w:bCs/>
          <w:rtl/>
        </w:rPr>
        <w:t xml:space="preserve"> </w:t>
      </w:r>
      <w:r w:rsidRPr="00EE5188">
        <w:rPr>
          <w:rFonts w:ascii="Alef" w:hAnsi="Alef" w:cs="Alef" w:hint="eastAsia"/>
          <w:b/>
          <w:bCs/>
          <w:rtl/>
        </w:rPr>
        <w:t>משותפים</w:t>
      </w:r>
      <w:r>
        <w:rPr>
          <w:rFonts w:ascii="Alef" w:hAnsi="Alef" w:cs="Alef" w:hint="cs"/>
          <w:rtl/>
        </w:rPr>
        <w:t xml:space="preserve">"). בסוף שנת 2018 תוקן פטור הסוג למיזמים משותפים באופן שמאפשר למתחרים החוברים למיזמים משותפים לבצע </w:t>
      </w:r>
      <w:r>
        <w:rPr>
          <w:rFonts w:ascii="Alef" w:hAnsi="Alef" w:cs="Alef" w:hint="cs"/>
          <w:rtl/>
        </w:rPr>
        <w:lastRenderedPageBreak/>
        <w:t xml:space="preserve">הערכה עצמית </w:t>
      </w:r>
      <w:r>
        <w:rPr>
          <w:rFonts w:ascii="Alef" w:hAnsi="Alef" w:cs="Alef"/>
        </w:rPr>
        <w:t>(</w:t>
      </w:r>
      <w:proofErr w:type="spellStart"/>
      <w:r>
        <w:rPr>
          <w:rFonts w:ascii="Alef" w:hAnsi="Alef" w:cs="Alef"/>
        </w:rPr>
        <w:t>self assessment</w:t>
      </w:r>
      <w:proofErr w:type="spellEnd"/>
      <w:r>
        <w:rPr>
          <w:rFonts w:ascii="Alef" w:hAnsi="Alef" w:cs="Alef"/>
        </w:rPr>
        <w:t>)</w:t>
      </w:r>
      <w:r>
        <w:rPr>
          <w:rFonts w:ascii="Alef" w:hAnsi="Alef" w:cs="Alef" w:hint="cs"/>
          <w:rtl/>
        </w:rPr>
        <w:t xml:space="preserve"> באשר לחוקיות המיזם המשותף. תיקון זה, כמו גם פטור הסוג למיזמים משותפים ערב התיקון, אינו חל על מיזמים משותפים בין מתחרים לצורך שיווק טובין שבהם הצדדים לא איחדו את כל פעילותם העסקית בייצור או יבוא הטובין.</w:t>
      </w:r>
      <w:r>
        <w:rPr>
          <w:rStyle w:val="FootnoteReference"/>
          <w:rFonts w:ascii="Alef" w:hAnsi="Alef" w:cs="Alef"/>
          <w:rtl/>
        </w:rPr>
        <w:footnoteReference w:id="1"/>
      </w:r>
      <w:r>
        <w:rPr>
          <w:rFonts w:ascii="Alef" w:hAnsi="Alef" w:cs="Alef" w:hint="cs"/>
          <w:rtl/>
        </w:rPr>
        <w:t xml:space="preserve"> </w:t>
      </w:r>
    </w:p>
    <w:p w:rsidR="003B55CE" w:rsidRDefault="003B55CE" w:rsidP="003B55CE">
      <w:pPr>
        <w:pStyle w:val="ListParagraph"/>
        <w:ind w:left="0"/>
        <w:jc w:val="both"/>
        <w:rPr>
          <w:rFonts w:ascii="Alef" w:hAnsi="Alef" w:cs="Alef"/>
          <w:rtl/>
        </w:rPr>
      </w:pPr>
    </w:p>
    <w:p w:rsidR="003B55CE" w:rsidRDefault="003B55CE" w:rsidP="003B55CE">
      <w:pPr>
        <w:pStyle w:val="ListParagraph"/>
        <w:ind w:left="0"/>
        <w:jc w:val="both"/>
        <w:rPr>
          <w:rFonts w:ascii="Alef" w:hAnsi="Alef" w:cs="Alef"/>
          <w:rtl/>
        </w:rPr>
      </w:pPr>
      <w:r>
        <w:rPr>
          <w:rFonts w:ascii="Alef" w:hAnsi="Alef" w:cs="Alef" w:hint="cs"/>
          <w:rtl/>
        </w:rPr>
        <w:t xml:space="preserve">ככלל, כאשר מתחרים חוברים ביניהם לצורך הגשת הצעה משותפת במכרז לאספקה של מוצר או שירות או לצורך ביצוע פרויקט, יש </w:t>
      </w:r>
      <w:r w:rsidRPr="00373B11">
        <w:rPr>
          <w:rFonts w:ascii="Alef" w:hAnsi="Alef" w:cs="Alef"/>
          <w:rtl/>
        </w:rPr>
        <w:t>לראותם כמתחרים אשר חוברים לצורך שיווק טובין משוק המוצר שבו הם מתחרים</w:t>
      </w:r>
      <w:r>
        <w:rPr>
          <w:rFonts w:ascii="Alef" w:hAnsi="Alef" w:cs="Alef" w:hint="cs"/>
          <w:rtl/>
        </w:rPr>
        <w:t>, שכן לרוב</w:t>
      </w:r>
      <w:r w:rsidRPr="00373B11">
        <w:rPr>
          <w:rFonts w:ascii="Alef" w:hAnsi="Alef" w:cs="Alef"/>
          <w:rtl/>
        </w:rPr>
        <w:t xml:space="preserve"> </w:t>
      </w:r>
      <w:r>
        <w:rPr>
          <w:rFonts w:ascii="Alef" w:hAnsi="Alef" w:cs="Alef" w:hint="cs"/>
          <w:rtl/>
        </w:rPr>
        <w:t xml:space="preserve">עסקינן בחבירה לצורך שיווק אשר אינה כרוכה באיחוד כל פעילות הייצור של המתחרים. </w:t>
      </w:r>
      <w:r w:rsidRPr="00373B11">
        <w:rPr>
          <w:rFonts w:ascii="Alef" w:hAnsi="Alef" w:cs="Alef"/>
          <w:rtl/>
        </w:rPr>
        <w:t xml:space="preserve">לפיכך, חבירה כזאת אינה חוסה תחת פטור הסוג למיזמים משותפים. חבירה כזאת יכולה אמנם לחסות בנסיבות המתאימות תחת כללי </w:t>
      </w:r>
      <w:r>
        <w:rPr>
          <w:rFonts w:ascii="Alef" w:hAnsi="Alef" w:cs="Alef" w:hint="cs"/>
          <w:rtl/>
        </w:rPr>
        <w:t>ההגבלים העסקיים (</w:t>
      </w:r>
      <w:r w:rsidRPr="00373B11">
        <w:rPr>
          <w:rFonts w:ascii="Alef" w:hAnsi="Alef" w:cs="Alef"/>
          <w:rtl/>
        </w:rPr>
        <w:t>פטור הסוג ל</w:t>
      </w:r>
      <w:r>
        <w:rPr>
          <w:rFonts w:ascii="Alef" w:hAnsi="Alef" w:cs="Alef" w:hint="cs"/>
          <w:rtl/>
        </w:rPr>
        <w:t>הסכמים  שפגיעתם בתחרות קלת</w:t>
      </w:r>
      <w:r w:rsidRPr="00373B11">
        <w:rPr>
          <w:rFonts w:ascii="Alef" w:hAnsi="Alef" w:cs="Alef"/>
          <w:rtl/>
        </w:rPr>
        <w:t xml:space="preserve"> ערך</w:t>
      </w:r>
      <w:r>
        <w:rPr>
          <w:rFonts w:ascii="Alef" w:hAnsi="Alef" w:cs="Alef" w:hint="cs"/>
          <w:rtl/>
        </w:rPr>
        <w:t>) (הוראת שעה), תשס"ו - 2006</w:t>
      </w:r>
      <w:r>
        <w:rPr>
          <w:rStyle w:val="FootnoteReference"/>
          <w:rFonts w:ascii="Alef" w:hAnsi="Alef" w:cs="Alef"/>
          <w:rtl/>
        </w:rPr>
        <w:footnoteReference w:id="2"/>
      </w:r>
      <w:r w:rsidRPr="00373B11">
        <w:rPr>
          <w:rFonts w:ascii="Alef" w:hAnsi="Alef" w:cs="Alef"/>
          <w:rtl/>
        </w:rPr>
        <w:t xml:space="preserve">, אך על הצדדים לוודא כי נתחי השוק שלהם עומדים בדרישות </w:t>
      </w:r>
      <w:r>
        <w:rPr>
          <w:rFonts w:ascii="Alef" w:hAnsi="Alef" w:cs="Alef" w:hint="cs"/>
          <w:rtl/>
        </w:rPr>
        <w:t>פטור הסוג האמור,</w:t>
      </w:r>
      <w:r w:rsidRPr="00373B11">
        <w:rPr>
          <w:rFonts w:ascii="Alef" w:hAnsi="Alef" w:cs="Alef"/>
          <w:rtl/>
        </w:rPr>
        <w:t xml:space="preserve"> שעיקר </w:t>
      </w:r>
      <w:r w:rsidRPr="00373B11">
        <w:rPr>
          <w:rFonts w:ascii="Alef" w:hAnsi="Alef" w:cs="Alef"/>
          <w:rtl/>
        </w:rPr>
        <w:lastRenderedPageBreak/>
        <w:t>החבירה אינ</w:t>
      </w:r>
      <w:r>
        <w:rPr>
          <w:rFonts w:ascii="Alef" w:hAnsi="Alef" w:cs="Alef" w:hint="cs"/>
          <w:rtl/>
        </w:rPr>
        <w:t>ו</w:t>
      </w:r>
      <w:r w:rsidRPr="00373B11">
        <w:rPr>
          <w:rFonts w:ascii="Alef" w:hAnsi="Alef" w:cs="Alef"/>
          <w:rtl/>
        </w:rPr>
        <w:t xml:space="preserve"> בהפחתת התחרות או מניעתה ואין בה כבילות שאינן נחוצות למימוש עיקרה</w:t>
      </w:r>
      <w:r w:rsidRPr="00373B11">
        <w:rPr>
          <w:rStyle w:val="FootnoteReference"/>
          <w:rFonts w:ascii="Alef" w:hAnsi="Alef" w:cs="Alef"/>
          <w:rtl/>
        </w:rPr>
        <w:footnoteReference w:id="3"/>
      </w:r>
      <w:r>
        <w:rPr>
          <w:rFonts w:ascii="Alef" w:hAnsi="Alef" w:cs="Alef" w:hint="cs"/>
          <w:rtl/>
        </w:rPr>
        <w:t xml:space="preserve"> וכן שהחבירה צוינה באופן מפורש בהצעה שהוגשה במכרז</w:t>
      </w:r>
      <w:r w:rsidRPr="00373B11">
        <w:rPr>
          <w:rFonts w:ascii="Alef" w:hAnsi="Alef" w:cs="Alef"/>
          <w:rtl/>
        </w:rPr>
        <w:t>.</w:t>
      </w:r>
      <w:r>
        <w:rPr>
          <w:rStyle w:val="FootnoteReference"/>
          <w:rFonts w:ascii="Alef" w:hAnsi="Alef" w:cs="Alef"/>
          <w:rtl/>
        </w:rPr>
        <w:footnoteReference w:id="4"/>
      </w:r>
      <w:r>
        <w:rPr>
          <w:rFonts w:ascii="Alef" w:hAnsi="Alef" w:cs="Alef" w:hint="cs"/>
          <w:rtl/>
        </w:rPr>
        <w:t xml:space="preserve"> </w:t>
      </w:r>
    </w:p>
    <w:p w:rsidR="003B55CE" w:rsidRDefault="003B55CE" w:rsidP="003B55CE">
      <w:pPr>
        <w:pStyle w:val="ListParagraph"/>
        <w:ind w:left="0"/>
        <w:jc w:val="both"/>
        <w:rPr>
          <w:rFonts w:ascii="Alef" w:hAnsi="Alef" w:cs="Alef"/>
          <w:rtl/>
        </w:rPr>
      </w:pPr>
    </w:p>
    <w:p w:rsidR="003B55CE" w:rsidRDefault="003B55CE" w:rsidP="003B55CE">
      <w:pPr>
        <w:pStyle w:val="ListParagraph"/>
        <w:ind w:left="0"/>
        <w:jc w:val="both"/>
        <w:rPr>
          <w:rFonts w:ascii="Alef" w:hAnsi="Alef" w:cs="Alef"/>
          <w:rtl/>
        </w:rPr>
      </w:pPr>
      <w:r>
        <w:rPr>
          <w:rFonts w:ascii="Alef" w:hAnsi="Alef" w:cs="Alef" w:hint="cs"/>
          <w:rtl/>
        </w:rPr>
        <w:t>ניתוח הדברים שונה כאשר מדובר במכרזים בהם המשתתפים מתחרים על רכישת נכס או שירות, להבדיל מאספקת מוצר או שירות או מכרז לביצוע פרויקט ("</w:t>
      </w:r>
      <w:r w:rsidRPr="00720CB9">
        <w:rPr>
          <w:rFonts w:ascii="Alef" w:hAnsi="Alef" w:cs="Alef" w:hint="cs"/>
          <w:b/>
          <w:bCs/>
          <w:rtl/>
        </w:rPr>
        <w:t>מכרז רכש</w:t>
      </w:r>
      <w:r>
        <w:rPr>
          <w:rFonts w:ascii="Alef" w:hAnsi="Alef" w:cs="Alef" w:hint="cs"/>
          <w:rtl/>
        </w:rPr>
        <w:t xml:space="preserve">"). ככלל, חבירה בין מתחרים לצורך הגשה משותפת במכרז רכש אינה נחשבת שיווק משותף ולפיכך יכולה בנסיבות המתאימות ליהנות מפטור הסוג למיזמים משותפים. יחד עם זאת, כאשר מדובר בנכס שניתן לצפות מראש ששיווקו או שיווק הטובין המופקים באמצעותו יתבצע במשותף על ידי המתחרים או שלצורך שיווקו קיים צורך להגיע להסכמות מסחריות בין המתחרים, יש לראות בחבירה לצורך רכישת נכס כאמור כחבירה בין מתחרים לצורך שיווק טובין אשר </w:t>
      </w:r>
      <w:r>
        <w:rPr>
          <w:rFonts w:ascii="Alef" w:hAnsi="Alef" w:cs="Alef" w:hint="cs"/>
          <w:rtl/>
        </w:rPr>
        <w:lastRenderedPageBreak/>
        <w:t>דורשת קבלת היתר ממערך הפיקוח על הסדרים כובלים טרם ביצועה.</w:t>
      </w:r>
      <w:r>
        <w:rPr>
          <w:rStyle w:val="FootnoteReference"/>
          <w:rFonts w:ascii="Alef" w:hAnsi="Alef" w:cs="Alef"/>
          <w:rtl/>
        </w:rPr>
        <w:footnoteReference w:id="5"/>
      </w:r>
      <w:r>
        <w:rPr>
          <w:rFonts w:ascii="Alef" w:hAnsi="Alef" w:cs="Alef" w:hint="cs"/>
          <w:rtl/>
        </w:rPr>
        <w:t xml:space="preserve"> לאמור, על הצדדים החוברים לצורך מכרז לרכישת נכס לבחון את מהות החבירה שלהם לכל אורכה וככל שבמורד הדרך הם צפויים לעסוק במכר משותף או בשיווק משותף של הנכס הנרכש או תוצריו, או שעליהם להגיע להסכמות מסחריות בדבר שיווק הנכס הנרכש או תוצריו, </w:t>
      </w:r>
      <w:r w:rsidR="0016094A">
        <w:rPr>
          <w:rFonts w:ascii="Alef" w:hAnsi="Alef" w:cs="Alef" w:hint="cs"/>
          <w:rtl/>
        </w:rPr>
        <w:t>עליהם להקדים ולקבל</w:t>
      </w:r>
      <w:r>
        <w:rPr>
          <w:rFonts w:ascii="Alef" w:hAnsi="Alef" w:cs="Alef" w:hint="cs"/>
          <w:rtl/>
        </w:rPr>
        <w:t xml:space="preserve"> היתר מערך הפיקוח על הסדרים כובלים טרם יצאו בדרכם המשותפת לרכישת נכס. כך לדוגמה במכרז לרכישת תחנת </w:t>
      </w:r>
      <w:proofErr w:type="spellStart"/>
      <w:r>
        <w:rPr>
          <w:rFonts w:ascii="Alef" w:hAnsi="Alef" w:cs="Alef" w:hint="cs"/>
          <w:rtl/>
        </w:rPr>
        <w:t>כח</w:t>
      </w:r>
      <w:proofErr w:type="spellEnd"/>
      <w:r>
        <w:rPr>
          <w:rFonts w:ascii="Alef" w:hAnsi="Alef" w:cs="Alef" w:hint="cs"/>
          <w:rtl/>
        </w:rPr>
        <w:t xml:space="preserve"> עשויים מתחרים להגיש הצעה למכרז שהיא הצעת רכש בלבד, אך משעה שיזכו במכרז ימכרו את החשמל המיוצר בתחנת </w:t>
      </w:r>
      <w:proofErr w:type="spellStart"/>
      <w:r>
        <w:rPr>
          <w:rFonts w:ascii="Alef" w:hAnsi="Alef" w:cs="Alef" w:hint="cs"/>
          <w:rtl/>
        </w:rPr>
        <w:t>הכח</w:t>
      </w:r>
      <w:proofErr w:type="spellEnd"/>
      <w:r>
        <w:rPr>
          <w:rFonts w:ascii="Alef" w:hAnsi="Alef" w:cs="Alef" w:hint="cs"/>
          <w:rtl/>
        </w:rPr>
        <w:t xml:space="preserve"> במשותף. לפיכך עליהם להקדים ולבקש היתר למכירה המשותפת של החשמל שייוצר בתחנת </w:t>
      </w:r>
      <w:proofErr w:type="spellStart"/>
      <w:r>
        <w:rPr>
          <w:rFonts w:ascii="Alef" w:hAnsi="Alef" w:cs="Alef" w:hint="cs"/>
          <w:rtl/>
        </w:rPr>
        <w:t>הכח</w:t>
      </w:r>
      <w:proofErr w:type="spellEnd"/>
      <w:r>
        <w:rPr>
          <w:rFonts w:ascii="Alef" w:hAnsi="Alef" w:cs="Alef" w:hint="cs"/>
          <w:rtl/>
        </w:rPr>
        <w:t xml:space="preserve"> עוד קודם להגשת הצעתם המשותפת במכרז.  </w:t>
      </w:r>
    </w:p>
    <w:p w:rsidR="003B55CE" w:rsidRPr="00373B11" w:rsidRDefault="003B55CE" w:rsidP="003B55CE">
      <w:pPr>
        <w:pStyle w:val="ListParagraph"/>
        <w:ind w:left="0"/>
        <w:rPr>
          <w:rFonts w:ascii="Alef" w:hAnsi="Alef" w:cs="Alef"/>
          <w:rtl/>
        </w:rPr>
      </w:pPr>
    </w:p>
    <w:p w:rsidR="003B55CE" w:rsidRPr="00BE5BCA" w:rsidRDefault="003B55CE" w:rsidP="003B55CE">
      <w:pPr>
        <w:pStyle w:val="ListParagraph"/>
        <w:ind w:left="0"/>
        <w:jc w:val="both"/>
        <w:rPr>
          <w:rFonts w:ascii="Alef" w:hAnsi="Alef" w:cs="Alef"/>
          <w:rtl/>
        </w:rPr>
      </w:pPr>
      <w:r>
        <w:rPr>
          <w:rFonts w:ascii="Alef" w:hAnsi="Alef" w:cs="Alef"/>
          <w:rtl/>
        </w:rPr>
        <w:t xml:space="preserve">על רקע </w:t>
      </w:r>
      <w:r>
        <w:rPr>
          <w:rFonts w:ascii="Alef" w:hAnsi="Alef" w:cs="Alef" w:hint="cs"/>
          <w:rtl/>
        </w:rPr>
        <w:t>האמור לעיל,</w:t>
      </w:r>
      <w:r w:rsidRPr="00373B11">
        <w:rPr>
          <w:rFonts w:ascii="Alef" w:hAnsi="Alef" w:cs="Alef"/>
          <w:rtl/>
        </w:rPr>
        <w:t xml:space="preserve"> </w:t>
      </w:r>
      <w:r>
        <w:rPr>
          <w:rFonts w:ascii="Alef" w:hAnsi="Alef" w:cs="Alef" w:hint="cs"/>
          <w:rtl/>
        </w:rPr>
        <w:t xml:space="preserve">וכיוון שחבירה של מתחרים לצורך הגשת הצעה במכרז תצריך במקרים רבים הגשת בקשת פטור מאישור הסדר כובל, </w:t>
      </w:r>
      <w:r w:rsidRPr="00373B11">
        <w:rPr>
          <w:rFonts w:ascii="Alef" w:hAnsi="Alef" w:cs="Alef"/>
          <w:rtl/>
        </w:rPr>
        <w:t>מצאה ה</w:t>
      </w:r>
      <w:r>
        <w:rPr>
          <w:rFonts w:ascii="Alef" w:hAnsi="Alef" w:cs="Alef" w:hint="cs"/>
          <w:rtl/>
        </w:rPr>
        <w:t>ממונה</w:t>
      </w:r>
      <w:r w:rsidRPr="00373B11">
        <w:rPr>
          <w:rFonts w:ascii="Alef" w:hAnsi="Alef" w:cs="Alef"/>
          <w:rtl/>
        </w:rPr>
        <w:t xml:space="preserve"> לנכון לפרסם</w:t>
      </w:r>
      <w:r>
        <w:rPr>
          <w:rFonts w:ascii="Alef" w:hAnsi="Alef" w:cs="Alef" w:hint="cs"/>
          <w:rtl/>
        </w:rPr>
        <w:t xml:space="preserve"> גילוי דעת שיבהיר לציבור את השיקולים שיילקחו בחשבון על ידי הממונה בבחינת בקשות פטור לחבירה במכרז. השיקולים המפורטים בגילוי דעת זה </w:t>
      </w:r>
      <w:r w:rsidRPr="00BE5BCA">
        <w:rPr>
          <w:rFonts w:ascii="Alef" w:hAnsi="Alef" w:cs="Alef" w:hint="cs"/>
          <w:rtl/>
        </w:rPr>
        <w:t>אינם רשימה סגורה</w:t>
      </w:r>
      <w:r>
        <w:rPr>
          <w:rFonts w:ascii="Alef" w:hAnsi="Alef" w:cs="Alef" w:hint="cs"/>
          <w:rtl/>
        </w:rPr>
        <w:t>.</w:t>
      </w:r>
      <w:r w:rsidRPr="00BE5BCA">
        <w:rPr>
          <w:rFonts w:ascii="Alef" w:hAnsi="Alef" w:cs="Alef" w:hint="cs"/>
          <w:rtl/>
        </w:rPr>
        <w:t xml:space="preserve"> כל בקשת פטור לחבירה במכרז תיבחן </w:t>
      </w:r>
      <w:r w:rsidRPr="00BE5BCA">
        <w:rPr>
          <w:rFonts w:ascii="Alef" w:hAnsi="Alef" w:cs="Alef" w:hint="cs"/>
          <w:rtl/>
        </w:rPr>
        <w:lastRenderedPageBreak/>
        <w:t>לגופה</w:t>
      </w:r>
      <w:r>
        <w:rPr>
          <w:rFonts w:ascii="Alef" w:hAnsi="Alef" w:cs="Alef" w:hint="cs"/>
          <w:rtl/>
        </w:rPr>
        <w:t xml:space="preserve"> על פי השיקולים הרלוונטיים לבקשה עצמה</w:t>
      </w:r>
      <w:r w:rsidRPr="00BE5BCA">
        <w:rPr>
          <w:rFonts w:ascii="Alef" w:hAnsi="Alef" w:cs="Alef" w:hint="cs"/>
          <w:rtl/>
        </w:rPr>
        <w:t xml:space="preserve">. לפיכך, יש לראות </w:t>
      </w:r>
      <w:r>
        <w:rPr>
          <w:rFonts w:ascii="Alef" w:hAnsi="Alef" w:cs="Alef" w:hint="cs"/>
          <w:rtl/>
        </w:rPr>
        <w:t xml:space="preserve">את </w:t>
      </w:r>
      <w:r w:rsidRPr="00BE5BCA">
        <w:rPr>
          <w:rFonts w:ascii="Alef" w:hAnsi="Alef" w:cs="Alef" w:hint="cs"/>
          <w:rtl/>
        </w:rPr>
        <w:t xml:space="preserve">גילוי דעת זה כמתווה קווי ניתוח כלליים כאשר כל מקרה יבחן בהתאם לנסיבותיו. </w:t>
      </w:r>
    </w:p>
    <w:p w:rsidR="003B55CE" w:rsidRPr="00BE5BCA" w:rsidRDefault="003B55CE" w:rsidP="003B55CE">
      <w:pPr>
        <w:pStyle w:val="ListParagraph"/>
        <w:ind w:left="0"/>
        <w:jc w:val="both"/>
        <w:rPr>
          <w:rFonts w:ascii="Alef" w:hAnsi="Alef" w:cs="Alef"/>
          <w:rtl/>
        </w:rPr>
      </w:pPr>
    </w:p>
    <w:p w:rsidR="003B55CE" w:rsidRDefault="003B55CE" w:rsidP="003B55CE">
      <w:pPr>
        <w:pStyle w:val="ListParagraph"/>
        <w:ind w:left="0"/>
        <w:jc w:val="both"/>
        <w:rPr>
          <w:rFonts w:ascii="Alef" w:hAnsi="Alef" w:cs="Alef"/>
        </w:rPr>
      </w:pPr>
      <w:r w:rsidRPr="00BE5BCA">
        <w:rPr>
          <w:rFonts w:ascii="Alef" w:hAnsi="Alef" w:cs="Alef" w:hint="cs"/>
          <w:rtl/>
        </w:rPr>
        <w:t>העקרונות לניתוח בקשות פטור לחבירה במכרז יכולים לשמש צדדים גם בעת ביצוע הערכה עצמית</w:t>
      </w:r>
      <w:r>
        <w:rPr>
          <w:rFonts w:ascii="Alef" w:hAnsi="Alef" w:cs="Alef" w:hint="cs"/>
          <w:rtl/>
        </w:rPr>
        <w:t xml:space="preserve"> של חבירות שאינן מצריכות הגשת בקשת פטור אלא כפופות למשטר של הערכה עצמית. כך למשל העקרונות האמורים בגילוי דעת זה עשויים לשמש גורמים מתחרים החוברים ביחד להצעה משותפת במכרז רכש שאינו דורש קבלת היתר ממערך ההגבלים העסקיים. </w:t>
      </w:r>
    </w:p>
    <w:p w:rsidR="003B55CE" w:rsidRDefault="003B55CE" w:rsidP="003B55CE">
      <w:pPr>
        <w:jc w:val="both"/>
        <w:rPr>
          <w:rFonts w:ascii="Alef" w:hAnsi="Alef" w:cs="Alef"/>
          <w:rtl/>
        </w:rPr>
      </w:pPr>
      <w:r>
        <w:rPr>
          <w:rFonts w:ascii="Alef" w:hAnsi="Alef" w:cs="Alef" w:hint="cs"/>
          <w:rtl/>
        </w:rPr>
        <w:t>חבירה בין מתחרים לצורך הגשה של הצעה במכרז, בין אם החבירה נעשית בשלב המיון המוקדם ובין אם בשלב המכרז עצמו, מהווה הסדר כובל כהגדרתו בסעיף 2 לחוק התחרות הכלכלית.</w:t>
      </w:r>
      <w:r>
        <w:rPr>
          <w:rStyle w:val="FootnoteReference"/>
          <w:rFonts w:ascii="Alef" w:hAnsi="Alef" w:cs="Alef"/>
          <w:rtl/>
        </w:rPr>
        <w:footnoteReference w:id="6"/>
      </w:r>
      <w:r>
        <w:rPr>
          <w:rFonts w:ascii="Alef" w:hAnsi="Alef" w:cs="Alef" w:hint="cs"/>
          <w:rtl/>
        </w:rPr>
        <w:t xml:space="preserve"> לפיכך, על צדדים המגישים בקשות פטור לחבירה במכרז לשכנע את הממונה כי החבירה הספציפית ביניהם עומדת בתנאי סעיפים 14(א)(1) ו </w:t>
      </w:r>
      <w:r>
        <w:rPr>
          <w:rFonts w:ascii="Alef" w:hAnsi="Alef" w:cs="Alef"/>
          <w:rtl/>
        </w:rPr>
        <w:t>–</w:t>
      </w:r>
      <w:r>
        <w:rPr>
          <w:rFonts w:ascii="Alef" w:hAnsi="Alef" w:cs="Alef" w:hint="cs"/>
          <w:rtl/>
        </w:rPr>
        <w:t xml:space="preserve"> 14(א)(2) לחוק התחרות הכלכלית. הממונה תפטור </w:t>
      </w:r>
      <w:r>
        <w:rPr>
          <w:rFonts w:ascii="Alef" w:hAnsi="Alef" w:cs="Alef" w:hint="cs"/>
          <w:rtl/>
        </w:rPr>
        <w:lastRenderedPageBreak/>
        <w:t>צדדים מהחובה לקבל את אישור בית הדין להסדר רק אם תשוכנע שהחבירה אינה מעלה חששות תחרותיים של ממש ו</w:t>
      </w:r>
      <w:r w:rsidRPr="004117EF">
        <w:rPr>
          <w:rFonts w:ascii="Alef" w:hAnsi="Alef" w:cs="Alef"/>
          <w:rtl/>
        </w:rPr>
        <w:t>עיקר</w:t>
      </w:r>
      <w:r>
        <w:rPr>
          <w:rFonts w:ascii="Alef" w:hAnsi="Alef" w:cs="Alef" w:hint="cs"/>
          <w:rtl/>
        </w:rPr>
        <w:t>ה</w:t>
      </w:r>
      <w:r w:rsidRPr="004117EF">
        <w:rPr>
          <w:rFonts w:ascii="Alef" w:hAnsi="Alef" w:cs="Alef"/>
          <w:rtl/>
        </w:rPr>
        <w:t xml:space="preserve"> אינו בהפחתת התחרות או במניעתה, ואין ב</w:t>
      </w:r>
      <w:r>
        <w:rPr>
          <w:rFonts w:ascii="Alef" w:hAnsi="Alef" w:cs="Alef" w:hint="cs"/>
          <w:rtl/>
        </w:rPr>
        <w:t>ה</w:t>
      </w:r>
      <w:r w:rsidRPr="004117EF">
        <w:rPr>
          <w:rFonts w:ascii="Alef" w:hAnsi="Alef" w:cs="Alef"/>
          <w:rtl/>
        </w:rPr>
        <w:t xml:space="preserve"> כבילות שאינן נחוצות למימוש עיקר</w:t>
      </w:r>
      <w:r>
        <w:rPr>
          <w:rFonts w:ascii="Alef" w:hAnsi="Alef" w:cs="Alef" w:hint="cs"/>
          <w:rtl/>
        </w:rPr>
        <w:t>ה</w:t>
      </w:r>
      <w:r w:rsidRPr="00B02EDC">
        <w:rPr>
          <w:rFonts w:ascii="Alef" w:hAnsi="Alef" w:cs="Alef" w:hint="cs"/>
          <w:rtl/>
        </w:rPr>
        <w:t>.</w:t>
      </w:r>
      <w:r>
        <w:rPr>
          <w:rFonts w:ascii="Alef" w:hAnsi="Alef" w:cs="Alef" w:hint="cs"/>
          <w:rtl/>
        </w:rPr>
        <w:t xml:space="preserve"> </w:t>
      </w:r>
    </w:p>
    <w:p w:rsidR="003B55CE" w:rsidRPr="00793AEF" w:rsidRDefault="003B55CE" w:rsidP="0003019C">
      <w:pPr>
        <w:pStyle w:val="ListParagraph"/>
        <w:numPr>
          <w:ilvl w:val="0"/>
          <w:numId w:val="14"/>
        </w:numPr>
        <w:spacing w:after="160" w:line="259" w:lineRule="auto"/>
        <w:ind w:hanging="357"/>
        <w:contextualSpacing w:val="0"/>
        <w:rPr>
          <w:rFonts w:ascii="Alef" w:hAnsi="Alef" w:cs="Alef"/>
          <w:b/>
          <w:bCs/>
          <w:rtl/>
        </w:rPr>
      </w:pPr>
      <w:r w:rsidRPr="00793AEF">
        <w:rPr>
          <w:rFonts w:ascii="Alef" w:hAnsi="Alef" w:cs="Alef"/>
          <w:b/>
          <w:bCs/>
          <w:rtl/>
        </w:rPr>
        <w:t>מושגי יסוד</w:t>
      </w:r>
    </w:p>
    <w:p w:rsidR="003B55CE" w:rsidRPr="00373B11" w:rsidRDefault="003B55CE" w:rsidP="00312B0B">
      <w:pPr>
        <w:pStyle w:val="ListParagraph"/>
        <w:numPr>
          <w:ilvl w:val="0"/>
          <w:numId w:val="10"/>
        </w:numPr>
        <w:spacing w:after="160" w:line="259" w:lineRule="auto"/>
        <w:ind w:left="357" w:hanging="357"/>
        <w:rPr>
          <w:rFonts w:ascii="Alef" w:hAnsi="Alef" w:cs="Alef"/>
        </w:rPr>
      </w:pPr>
      <w:r w:rsidRPr="005373B9">
        <w:rPr>
          <w:rFonts w:ascii="Alef" w:hAnsi="Alef" w:cs="Alef"/>
          <w:u w:val="single"/>
          <w:rtl/>
        </w:rPr>
        <w:t>מי הם מתחרים</w:t>
      </w:r>
      <w:r w:rsidRPr="00373B11">
        <w:rPr>
          <w:rFonts w:ascii="Alef" w:hAnsi="Alef" w:cs="Alef"/>
          <w:rtl/>
        </w:rPr>
        <w:t>?</w:t>
      </w:r>
    </w:p>
    <w:p w:rsidR="003B55CE" w:rsidRPr="0003019C" w:rsidRDefault="003B55CE" w:rsidP="00312B0B">
      <w:pPr>
        <w:pStyle w:val="ListParagraph"/>
        <w:ind w:left="357"/>
        <w:jc w:val="both"/>
        <w:rPr>
          <w:rFonts w:ascii="Alef" w:hAnsi="Alef" w:cs="Alef"/>
          <w:rtl/>
        </w:rPr>
      </w:pPr>
      <w:r w:rsidRPr="00373B11">
        <w:rPr>
          <w:rFonts w:ascii="Alef" w:hAnsi="Alef" w:cs="Alef"/>
          <w:rtl/>
        </w:rPr>
        <w:t>פעמים רבות בעבר נקבע כי מכרז מהווה זירה תחרותית.</w:t>
      </w:r>
      <w:r w:rsidR="0003019C" w:rsidRPr="00373B11">
        <w:rPr>
          <w:rStyle w:val="FootnoteReference"/>
          <w:rFonts w:ascii="Alef" w:hAnsi="Alef" w:cs="Alef"/>
          <w:rtl/>
        </w:rPr>
        <w:footnoteReference w:id="7"/>
      </w:r>
      <w:r w:rsidRPr="00373B11">
        <w:rPr>
          <w:rFonts w:ascii="Alef" w:hAnsi="Alef" w:cs="Alef"/>
          <w:rtl/>
        </w:rPr>
        <w:t xml:space="preserve"> </w:t>
      </w:r>
      <w:r>
        <w:rPr>
          <w:rFonts w:ascii="Alef" w:hAnsi="Alef" w:cs="Alef" w:hint="cs"/>
          <w:rtl/>
        </w:rPr>
        <w:t xml:space="preserve">בכפוף לאמור להלן, </w:t>
      </w:r>
      <w:r w:rsidRPr="00373B11">
        <w:rPr>
          <w:rFonts w:ascii="Alef" w:hAnsi="Alef" w:cs="Alef"/>
          <w:rtl/>
        </w:rPr>
        <w:t xml:space="preserve">מתחרים </w:t>
      </w:r>
      <w:r>
        <w:rPr>
          <w:rFonts w:ascii="Alef" w:hAnsi="Alef" w:cs="Alef" w:hint="cs"/>
          <w:rtl/>
        </w:rPr>
        <w:t xml:space="preserve">במכרז </w:t>
      </w:r>
      <w:r w:rsidRPr="00373B11">
        <w:rPr>
          <w:rFonts w:ascii="Alef" w:hAnsi="Alef" w:cs="Alef"/>
          <w:rtl/>
        </w:rPr>
        <w:t>לצורך גילוי דעת זה ייחשבו כל מי שעומד בדרישות הסף</w:t>
      </w:r>
      <w:r>
        <w:rPr>
          <w:rFonts w:ascii="Alef" w:hAnsi="Alef" w:cs="Alef" w:hint="cs"/>
          <w:rtl/>
        </w:rPr>
        <w:t xml:space="preserve"> של המכרז. כאשר מדובר במכרזים שבהם מתקיים שלב מיון מוקדם והחבירה מתבצעת טרם שלב המיון המוקדם, ייראו כמתחרים כל מי שעומד בדרישות הסף של שלב המיון המוקדם. המונח "דרישות סף" בהמשך גילוי דעת זה יתייחס הן לדרישות הסף בשלב המכרז והן לדרישות הסף בשלב המיון המוקדם, לפי מועד יצירת החבירה, בהתאמה. היינו, אם החבירה נעשית בשלב שלפני </w:t>
      </w:r>
      <w:r>
        <w:rPr>
          <w:rFonts w:ascii="Alef" w:hAnsi="Alef" w:cs="Alef" w:hint="cs"/>
          <w:rtl/>
        </w:rPr>
        <w:lastRenderedPageBreak/>
        <w:t>המיון המוקדם, כל מי שעומד בדרישות הסף של המיון המוקדם ייחשב כמתחרה. אם החבירה נעשית בשלב שלפני המכרז עצמו, כל מי שעומד בדרישות הסף של המכרז ייחשב כמתחרה.</w:t>
      </w:r>
      <w:r>
        <w:rPr>
          <w:rStyle w:val="FootnoteReference"/>
          <w:rFonts w:ascii="Alef" w:hAnsi="Alef" w:cs="Alef"/>
          <w:rtl/>
        </w:rPr>
        <w:footnoteReference w:id="8"/>
      </w:r>
      <w:r w:rsidRPr="00373B11">
        <w:rPr>
          <w:rFonts w:ascii="Alef" w:hAnsi="Alef" w:cs="Alef"/>
          <w:rtl/>
        </w:rPr>
        <w:t xml:space="preserve"> </w:t>
      </w:r>
    </w:p>
    <w:p w:rsidR="003B55CE" w:rsidRDefault="003B55CE" w:rsidP="0003019C">
      <w:pPr>
        <w:pStyle w:val="ListParagraph"/>
        <w:ind w:left="360"/>
        <w:jc w:val="both"/>
        <w:rPr>
          <w:rFonts w:ascii="Alef" w:hAnsi="Alef" w:cs="Alef"/>
          <w:rtl/>
        </w:rPr>
      </w:pPr>
      <w:r w:rsidRPr="00606274">
        <w:rPr>
          <w:rFonts w:ascii="Alef" w:hAnsi="Alef" w:cs="Alef" w:hint="eastAsia"/>
          <w:rtl/>
        </w:rPr>
        <w:t>יתר</w:t>
      </w:r>
      <w:r w:rsidRPr="00606274">
        <w:rPr>
          <w:rFonts w:ascii="Alef" w:hAnsi="Alef" w:cs="Alef"/>
          <w:rtl/>
        </w:rPr>
        <w:t xml:space="preserve"> על כן, גם מי שאינו עומד בדרישות הסף אך יכול לעמוד ב</w:t>
      </w:r>
      <w:r>
        <w:rPr>
          <w:rFonts w:ascii="Alef" w:hAnsi="Alef" w:cs="Alef" w:hint="cs"/>
          <w:rtl/>
        </w:rPr>
        <w:t>הן</w:t>
      </w:r>
      <w:r w:rsidRPr="00606274">
        <w:rPr>
          <w:rFonts w:ascii="Alef" w:hAnsi="Alef" w:cs="Alef"/>
          <w:rtl/>
        </w:rPr>
        <w:t xml:space="preserve"> תוך השקעת מאמצים עצמאיים </w:t>
      </w:r>
      <w:r w:rsidRPr="00606274">
        <w:rPr>
          <w:rFonts w:ascii="Alef" w:hAnsi="Alef" w:cs="Alef" w:hint="eastAsia"/>
          <w:rtl/>
        </w:rPr>
        <w:t>סבירים</w:t>
      </w:r>
      <w:r w:rsidRPr="00606274">
        <w:rPr>
          <w:rFonts w:ascii="Alef" w:hAnsi="Alef" w:cs="Alef"/>
          <w:rtl/>
        </w:rPr>
        <w:t xml:space="preserve"> </w:t>
      </w:r>
      <w:r w:rsidRPr="00606274">
        <w:rPr>
          <w:rFonts w:ascii="Alef" w:hAnsi="Alef" w:cs="Alef" w:hint="eastAsia"/>
          <w:rtl/>
        </w:rPr>
        <w:t>ייחשב</w:t>
      </w:r>
      <w:r w:rsidRPr="00606274">
        <w:rPr>
          <w:rFonts w:ascii="Alef" w:hAnsi="Alef" w:cs="Alef"/>
          <w:rtl/>
        </w:rPr>
        <w:t xml:space="preserve"> אף הוא מתחרה. כך לדוגמה אם לצורך הגשת הצעה במכרז דורש עורך המכרז צבר </w:t>
      </w:r>
      <w:proofErr w:type="spellStart"/>
      <w:r w:rsidRPr="00606274">
        <w:rPr>
          <w:rFonts w:ascii="Alef" w:hAnsi="Alef" w:cs="Alef" w:hint="eastAsia"/>
          <w:rtl/>
        </w:rPr>
        <w:t>כח</w:t>
      </w:r>
      <w:proofErr w:type="spellEnd"/>
      <w:r w:rsidRPr="00606274">
        <w:rPr>
          <w:rFonts w:ascii="Alef" w:hAnsi="Alef" w:cs="Alef"/>
          <w:rtl/>
        </w:rPr>
        <w:t xml:space="preserve"> אדם מינימאלי של </w:t>
      </w:r>
      <w:r w:rsidR="0003019C">
        <w:rPr>
          <w:rFonts w:ascii="Alef" w:hAnsi="Alef" w:cs="Alef" w:hint="cs"/>
          <w:rtl/>
        </w:rPr>
        <w:t>מספר מסו</w:t>
      </w:r>
      <w:r>
        <w:rPr>
          <w:rFonts w:ascii="Alef" w:hAnsi="Alef" w:cs="Alef" w:hint="cs"/>
          <w:rtl/>
        </w:rPr>
        <w:t>ים של</w:t>
      </w:r>
      <w:r w:rsidRPr="00606274">
        <w:rPr>
          <w:rFonts w:ascii="Alef" w:hAnsi="Alef" w:cs="Alef"/>
          <w:rtl/>
        </w:rPr>
        <w:t xml:space="preserve"> עובדים </w:t>
      </w:r>
      <w:r w:rsidRPr="00606274">
        <w:rPr>
          <w:rFonts w:ascii="Alef" w:hAnsi="Alef" w:cs="Alef" w:hint="eastAsia"/>
          <w:rtl/>
        </w:rPr>
        <w:t>שיקדישו</w:t>
      </w:r>
      <w:r w:rsidRPr="00606274">
        <w:rPr>
          <w:rFonts w:ascii="Alef" w:hAnsi="Alef" w:cs="Alef"/>
          <w:rtl/>
        </w:rPr>
        <w:t xml:space="preserve"> </w:t>
      </w:r>
      <w:r w:rsidRPr="00606274">
        <w:rPr>
          <w:rFonts w:ascii="Alef" w:hAnsi="Alef" w:cs="Alef" w:hint="eastAsia"/>
          <w:rtl/>
        </w:rPr>
        <w:t>את</w:t>
      </w:r>
      <w:r w:rsidRPr="00606274">
        <w:rPr>
          <w:rFonts w:ascii="Alef" w:hAnsi="Alef" w:cs="Alef"/>
          <w:rtl/>
        </w:rPr>
        <w:t xml:space="preserve"> משאביהם </w:t>
      </w:r>
      <w:r>
        <w:rPr>
          <w:rFonts w:ascii="Alef" w:hAnsi="Alef" w:cs="Alef" w:hint="eastAsia"/>
          <w:rtl/>
        </w:rPr>
        <w:t>לפרוי</w:t>
      </w:r>
      <w:r w:rsidRPr="00606274">
        <w:rPr>
          <w:rFonts w:ascii="Alef" w:hAnsi="Alef" w:cs="Alef" w:hint="eastAsia"/>
          <w:rtl/>
        </w:rPr>
        <w:t>קט</w:t>
      </w:r>
      <w:r w:rsidRPr="00606274">
        <w:rPr>
          <w:rFonts w:ascii="Alef" w:hAnsi="Alef" w:cs="Alef"/>
          <w:rtl/>
        </w:rPr>
        <w:t xml:space="preserve"> </w:t>
      </w:r>
      <w:r w:rsidRPr="00606274">
        <w:rPr>
          <w:rFonts w:ascii="Alef" w:hAnsi="Alef" w:cs="Alef" w:hint="eastAsia"/>
          <w:rtl/>
        </w:rPr>
        <w:t>ואילו</w:t>
      </w:r>
      <w:r w:rsidRPr="00606274">
        <w:rPr>
          <w:rFonts w:ascii="Alef" w:hAnsi="Alef" w:cs="Alef"/>
          <w:rtl/>
        </w:rPr>
        <w:t xml:space="preserve"> </w:t>
      </w:r>
      <w:r w:rsidRPr="00606274">
        <w:rPr>
          <w:rFonts w:ascii="Alef" w:hAnsi="Alef" w:cs="Alef" w:hint="eastAsia"/>
          <w:rtl/>
        </w:rPr>
        <w:t>למתמודד</w:t>
      </w:r>
      <w:r w:rsidRPr="00606274">
        <w:rPr>
          <w:rFonts w:ascii="Alef" w:hAnsi="Alef" w:cs="Alef"/>
          <w:rtl/>
        </w:rPr>
        <w:t xml:space="preserve"> במכרז יש </w:t>
      </w:r>
      <w:r>
        <w:rPr>
          <w:rFonts w:ascii="Alef" w:hAnsi="Alef" w:cs="Alef" w:hint="cs"/>
          <w:rtl/>
        </w:rPr>
        <w:t xml:space="preserve">פחות עובדים מן הדרוש אך </w:t>
      </w:r>
      <w:r w:rsidRPr="00606274">
        <w:rPr>
          <w:rFonts w:ascii="Alef" w:hAnsi="Alef" w:cs="Alef" w:hint="eastAsia"/>
          <w:rtl/>
        </w:rPr>
        <w:t>ניתן</w:t>
      </w:r>
      <w:r w:rsidRPr="00606274">
        <w:rPr>
          <w:rFonts w:ascii="Alef" w:hAnsi="Alef" w:cs="Alef"/>
          <w:rtl/>
        </w:rPr>
        <w:t xml:space="preserve"> להשלים חסר </w:t>
      </w:r>
      <w:r w:rsidRPr="00606274">
        <w:rPr>
          <w:rFonts w:ascii="Alef" w:hAnsi="Alef" w:cs="Alef" w:hint="eastAsia"/>
          <w:rtl/>
        </w:rPr>
        <w:t>זה</w:t>
      </w:r>
      <w:r w:rsidRPr="00606274">
        <w:rPr>
          <w:rFonts w:ascii="Alef" w:hAnsi="Alef" w:cs="Alef"/>
          <w:rtl/>
        </w:rPr>
        <w:t xml:space="preserve"> </w:t>
      </w:r>
      <w:proofErr w:type="spellStart"/>
      <w:r w:rsidRPr="00606274">
        <w:rPr>
          <w:rFonts w:ascii="Alef" w:hAnsi="Alef" w:cs="Alef" w:hint="eastAsia"/>
          <w:rtl/>
        </w:rPr>
        <w:t>בכח</w:t>
      </w:r>
      <w:proofErr w:type="spellEnd"/>
      <w:r w:rsidRPr="00606274">
        <w:rPr>
          <w:rFonts w:ascii="Alef" w:hAnsi="Alef" w:cs="Alef"/>
          <w:rtl/>
        </w:rPr>
        <w:t xml:space="preserve"> אדם </w:t>
      </w:r>
      <w:r w:rsidRPr="00606274">
        <w:rPr>
          <w:rFonts w:ascii="Alef" w:hAnsi="Alef" w:cs="Alef"/>
          <w:rtl/>
        </w:rPr>
        <w:lastRenderedPageBreak/>
        <w:t>באופן עצמאי ותוך מאמץ סביר מבלי לחבור לגורם נוסף, יש לראות במתמודד כזה מתחרה</w:t>
      </w:r>
      <w:r w:rsidRPr="00EE5188">
        <w:rPr>
          <w:rFonts w:ascii="Alef" w:hAnsi="Alef" w:cs="Alef"/>
          <w:rtl/>
        </w:rPr>
        <w:t>.</w:t>
      </w:r>
      <w:r w:rsidR="0003019C" w:rsidRPr="00EE5188">
        <w:rPr>
          <w:rStyle w:val="FootnoteReference"/>
          <w:rFonts w:ascii="Alef" w:hAnsi="Alef" w:cs="Alef"/>
          <w:rtl/>
        </w:rPr>
        <w:footnoteReference w:id="9"/>
      </w:r>
      <w:r>
        <w:rPr>
          <w:rFonts w:ascii="Alef" w:hAnsi="Alef" w:cs="Alef" w:hint="cs"/>
          <w:rtl/>
        </w:rPr>
        <w:t xml:space="preserve">  </w:t>
      </w:r>
    </w:p>
    <w:p w:rsidR="003B55CE" w:rsidRDefault="003B55CE" w:rsidP="003B55CE">
      <w:pPr>
        <w:pStyle w:val="ListParagraph"/>
        <w:ind w:left="360"/>
        <w:rPr>
          <w:rFonts w:ascii="Alef" w:hAnsi="Alef" w:cs="Alef"/>
          <w:rtl/>
        </w:rPr>
      </w:pPr>
    </w:p>
    <w:p w:rsidR="003B55CE" w:rsidRPr="00C32FCB" w:rsidRDefault="003B55CE" w:rsidP="003B55CE">
      <w:pPr>
        <w:pStyle w:val="ListParagraph"/>
        <w:ind w:left="360"/>
        <w:jc w:val="both"/>
        <w:rPr>
          <w:rFonts w:ascii="Alef" w:hAnsi="Alef" w:cs="Alef"/>
          <w:rtl/>
        </w:rPr>
      </w:pPr>
      <w:r>
        <w:rPr>
          <w:rFonts w:ascii="Alef" w:hAnsi="Alef" w:cs="Alef" w:hint="cs"/>
          <w:rtl/>
        </w:rPr>
        <w:t xml:space="preserve">כמו כן, חבירה בין גורמים המתחרים זה בזה באופן ישיר בתחום הפעילות שבו עוסק המכרז תיחשב כחבירה בין מתחרים, אף אם הגורמים אינם עומדים בדרישות הסף. טול לדוגמה מקרה שבו שתי חברות העוסקות בהקמת מסילות ומערכות רכבות בעלות יכולות </w:t>
      </w:r>
      <w:proofErr w:type="spellStart"/>
      <w:r>
        <w:rPr>
          <w:rFonts w:ascii="Alef" w:hAnsi="Alef" w:cs="Alef" w:hint="cs"/>
          <w:rtl/>
        </w:rPr>
        <w:t>חישמול</w:t>
      </w:r>
      <w:proofErr w:type="spellEnd"/>
      <w:r>
        <w:rPr>
          <w:rFonts w:ascii="Alef" w:hAnsi="Alef" w:cs="Alef" w:hint="cs"/>
          <w:rtl/>
        </w:rPr>
        <w:t xml:space="preserve"> ואיתות ברכבות. שתיהן עומדות אמנם בדרישות הסף של ניסיון בהקמת מסילות ובדרישות ההנדסיות אך שתיהן </w:t>
      </w:r>
      <w:r w:rsidRPr="00034C5D">
        <w:rPr>
          <w:rFonts w:ascii="Alef" w:hAnsi="Alef" w:cs="Alef" w:hint="cs"/>
          <w:rtl/>
        </w:rPr>
        <w:t xml:space="preserve">אינן עומדות בדרישות הסף הפיננסיות. לפיכך, פורמלית הן אינן עומדות בדרישות הסף. עם זאת </w:t>
      </w:r>
      <w:r w:rsidRPr="00034C5D">
        <w:rPr>
          <w:rFonts w:ascii="Alef" w:hAnsi="Alef" w:cs="Alef" w:hint="eastAsia"/>
          <w:rtl/>
        </w:rPr>
        <w:t>ברי</w:t>
      </w:r>
      <w:r w:rsidRPr="00034C5D">
        <w:rPr>
          <w:rFonts w:ascii="Alef" w:hAnsi="Alef" w:cs="Alef"/>
          <w:rtl/>
        </w:rPr>
        <w:t xml:space="preserve"> כי חבירה שלהן ביחד היא חבירה בין מתחרים, שהרי הן מתחרות זאת בזאת </w:t>
      </w:r>
      <w:r w:rsidRPr="00034C5D">
        <w:rPr>
          <w:rFonts w:ascii="Alef" w:hAnsi="Alef" w:cs="Alef" w:hint="eastAsia"/>
          <w:rtl/>
        </w:rPr>
        <w:t>בתחום</w:t>
      </w:r>
      <w:r w:rsidRPr="00034C5D">
        <w:rPr>
          <w:rFonts w:ascii="Alef" w:hAnsi="Alef" w:cs="Alef"/>
          <w:rtl/>
        </w:rPr>
        <w:t xml:space="preserve"> </w:t>
      </w:r>
      <w:r w:rsidRPr="00034C5D">
        <w:rPr>
          <w:rFonts w:ascii="Alef" w:hAnsi="Alef" w:cs="Alef" w:hint="eastAsia"/>
          <w:rtl/>
        </w:rPr>
        <w:t>הפעילות</w:t>
      </w:r>
      <w:r w:rsidRPr="00034C5D">
        <w:rPr>
          <w:rFonts w:ascii="Alef" w:hAnsi="Alef" w:cs="Alef"/>
          <w:rtl/>
        </w:rPr>
        <w:t xml:space="preserve"> שבו עוסק המכרז</w:t>
      </w:r>
      <w:r w:rsidRPr="00034C5D">
        <w:rPr>
          <w:rFonts w:ascii="Alef" w:hAnsi="Alef" w:cs="Alef" w:hint="cs"/>
          <w:rtl/>
        </w:rPr>
        <w:t>.</w:t>
      </w:r>
      <w:r w:rsidRPr="00034C5D" w:rsidDel="005556D7">
        <w:rPr>
          <w:rFonts w:ascii="Alef" w:hAnsi="Alef" w:cs="Alef" w:hint="cs"/>
          <w:rtl/>
        </w:rPr>
        <w:t xml:space="preserve"> </w:t>
      </w:r>
      <w:r w:rsidRPr="00034C5D">
        <w:rPr>
          <w:rFonts w:ascii="Alef" w:hAnsi="Alef" w:cs="Alef" w:hint="cs"/>
          <w:rtl/>
        </w:rPr>
        <w:t>חבירה כזאת תיחשב, אם כן, לחבירה בין מתחרים למרות שאף לא אחד מהצדדים לחבירה עומד</w:t>
      </w:r>
      <w:r>
        <w:rPr>
          <w:rFonts w:ascii="Alef" w:hAnsi="Alef" w:cs="Alef" w:hint="cs"/>
          <w:rtl/>
        </w:rPr>
        <w:t xml:space="preserve"> בדרישות הסף. </w:t>
      </w:r>
    </w:p>
    <w:p w:rsidR="003B55CE" w:rsidRDefault="003B55CE" w:rsidP="003B55CE">
      <w:pPr>
        <w:pStyle w:val="ListParagraph"/>
        <w:ind w:left="360" w:firstLine="720"/>
        <w:rPr>
          <w:rFonts w:ascii="Alef" w:hAnsi="Alef" w:cs="Alef"/>
          <w:rtl/>
        </w:rPr>
      </w:pPr>
    </w:p>
    <w:p w:rsidR="003B55CE" w:rsidRDefault="003B55CE" w:rsidP="00514817">
      <w:pPr>
        <w:pStyle w:val="ListParagraph"/>
        <w:ind w:left="360"/>
        <w:jc w:val="both"/>
        <w:rPr>
          <w:rFonts w:ascii="Alef" w:hAnsi="Alef" w:cs="Alef"/>
          <w:rtl/>
        </w:rPr>
      </w:pPr>
      <w:r>
        <w:rPr>
          <w:rFonts w:ascii="Alef" w:hAnsi="Alef" w:cs="Alef" w:hint="cs"/>
          <w:rtl/>
        </w:rPr>
        <w:lastRenderedPageBreak/>
        <w:t xml:space="preserve">ביחס לצדדים שחוברים טרם שלב המיון המוקדם, </w:t>
      </w:r>
      <w:r w:rsidRPr="00373B11">
        <w:rPr>
          <w:rFonts w:ascii="Alef" w:hAnsi="Alef" w:cs="Alef"/>
          <w:rtl/>
        </w:rPr>
        <w:t>לעיתים שלב המיון המוקדם כולל דרישות סף כלליות</w:t>
      </w:r>
      <w:r>
        <w:rPr>
          <w:rFonts w:ascii="Alef" w:hAnsi="Alef" w:cs="Alef" w:hint="cs"/>
          <w:rtl/>
        </w:rPr>
        <w:t xml:space="preserve"> עד כדי כך</w:t>
      </w:r>
      <w:r w:rsidRPr="00373B11">
        <w:rPr>
          <w:rFonts w:ascii="Alef" w:hAnsi="Alef" w:cs="Alef"/>
          <w:rtl/>
        </w:rPr>
        <w:t xml:space="preserve"> שאין בהן כדי לתחום את זירת התחרות </w:t>
      </w:r>
      <w:r>
        <w:rPr>
          <w:rFonts w:ascii="Alef" w:hAnsi="Alef" w:cs="Alef" w:hint="cs"/>
          <w:rtl/>
        </w:rPr>
        <w:t>הרלוונטית</w:t>
      </w:r>
      <w:r w:rsidRPr="00373B11">
        <w:rPr>
          <w:rFonts w:ascii="Alef" w:hAnsi="Alef" w:cs="Alef"/>
          <w:rtl/>
        </w:rPr>
        <w:t>. כך לדוגמה י</w:t>
      </w:r>
      <w:r>
        <w:rPr>
          <w:rFonts w:ascii="Alef" w:hAnsi="Alef" w:cs="Alef"/>
          <w:rtl/>
        </w:rPr>
        <w:t>כול להתקיים שלב מיון מוקדם לפרו</w:t>
      </w:r>
      <w:r w:rsidRPr="00373B11">
        <w:rPr>
          <w:rFonts w:ascii="Alef" w:hAnsi="Alef" w:cs="Alef"/>
          <w:rtl/>
        </w:rPr>
        <w:t>יקט תשתית הקמת מסילות ברזל שבו עיקר תנאי הסף עוסקים ביכולות פיננסיות. ברי, כי במקרה כזה לא ייחשב כל מי שעומד בדרישות הסף הפיננסיות כמתחרה פוטנציאלי</w:t>
      </w:r>
      <w:r>
        <w:rPr>
          <w:rFonts w:ascii="Alef" w:hAnsi="Alef" w:cs="Alef" w:hint="cs"/>
          <w:rtl/>
        </w:rPr>
        <w:t>.</w:t>
      </w:r>
      <w:r w:rsidRPr="00373B11">
        <w:rPr>
          <w:rFonts w:ascii="Alef" w:hAnsi="Alef" w:cs="Alef"/>
          <w:rtl/>
        </w:rPr>
        <w:t xml:space="preserve"> נדרש גם שלמתחרה במכרז תהיה זיקה כלשהי ולו עקיפה ל</w:t>
      </w:r>
      <w:r>
        <w:rPr>
          <w:rFonts w:ascii="Alef" w:hAnsi="Alef" w:cs="Alef" w:hint="cs"/>
          <w:rtl/>
        </w:rPr>
        <w:t>תחום הפעילות</w:t>
      </w:r>
      <w:r>
        <w:rPr>
          <w:rFonts w:ascii="Alef" w:hAnsi="Alef" w:cs="Alef"/>
          <w:rtl/>
        </w:rPr>
        <w:t xml:space="preserve"> שב</w:t>
      </w:r>
      <w:r>
        <w:rPr>
          <w:rFonts w:ascii="Alef" w:hAnsi="Alef" w:cs="Alef" w:hint="cs"/>
          <w:rtl/>
        </w:rPr>
        <w:t>ו</w:t>
      </w:r>
      <w:r w:rsidRPr="00373B11">
        <w:rPr>
          <w:rFonts w:ascii="Alef" w:hAnsi="Alef" w:cs="Alef"/>
          <w:rtl/>
        </w:rPr>
        <w:t xml:space="preserve"> עוסק המכרז. </w:t>
      </w:r>
      <w:r>
        <w:rPr>
          <w:rFonts w:ascii="Alef" w:hAnsi="Alef" w:cs="Alef"/>
          <w:rtl/>
        </w:rPr>
        <w:t xml:space="preserve">כך במכרזי התפלה יש לראות </w:t>
      </w:r>
      <w:r>
        <w:rPr>
          <w:rFonts w:ascii="Alef" w:hAnsi="Alef" w:cs="Alef" w:hint="cs"/>
          <w:rtl/>
        </w:rPr>
        <w:t>כ</w:t>
      </w:r>
      <w:r>
        <w:rPr>
          <w:rFonts w:ascii="Alef" w:hAnsi="Alef" w:cs="Alef"/>
          <w:rtl/>
        </w:rPr>
        <w:t>מתחר</w:t>
      </w:r>
      <w:r>
        <w:rPr>
          <w:rFonts w:ascii="Alef" w:hAnsi="Alef" w:cs="Alef" w:hint="cs"/>
          <w:rtl/>
        </w:rPr>
        <w:t>ה</w:t>
      </w:r>
      <w:r w:rsidRPr="00373B11">
        <w:rPr>
          <w:rFonts w:ascii="Alef" w:hAnsi="Alef" w:cs="Alef"/>
          <w:rtl/>
        </w:rPr>
        <w:t xml:space="preserve"> במכרז </w:t>
      </w:r>
      <w:r>
        <w:rPr>
          <w:rFonts w:ascii="Alef" w:hAnsi="Alef" w:cs="Alef" w:hint="cs"/>
          <w:rtl/>
        </w:rPr>
        <w:t xml:space="preserve">רק </w:t>
      </w:r>
      <w:r w:rsidRPr="00373B11">
        <w:rPr>
          <w:rFonts w:ascii="Alef" w:hAnsi="Alef" w:cs="Alef"/>
          <w:rtl/>
        </w:rPr>
        <w:t xml:space="preserve">מי שיש לו זיקה ישירה או עקיפה לתחום ההתפלה; במכרז לרכישת תחנת </w:t>
      </w:r>
      <w:proofErr w:type="spellStart"/>
      <w:r w:rsidRPr="00373B11">
        <w:rPr>
          <w:rFonts w:ascii="Alef" w:hAnsi="Alef" w:cs="Alef"/>
          <w:rtl/>
        </w:rPr>
        <w:t>כח</w:t>
      </w:r>
      <w:proofErr w:type="spellEnd"/>
      <w:r w:rsidRPr="00373B11">
        <w:rPr>
          <w:rFonts w:ascii="Alef" w:hAnsi="Alef" w:cs="Alef"/>
          <w:rtl/>
        </w:rPr>
        <w:t xml:space="preserve"> חשמלית ייחשב מתחרה </w:t>
      </w:r>
      <w:r>
        <w:rPr>
          <w:rFonts w:ascii="Alef" w:hAnsi="Alef" w:cs="Alef" w:hint="cs"/>
          <w:rtl/>
        </w:rPr>
        <w:t xml:space="preserve">רק </w:t>
      </w:r>
      <w:r w:rsidRPr="00373B11">
        <w:rPr>
          <w:rFonts w:ascii="Alef" w:hAnsi="Alef" w:cs="Alef"/>
          <w:rtl/>
        </w:rPr>
        <w:t xml:space="preserve">מי </w:t>
      </w:r>
      <w:r>
        <w:rPr>
          <w:rFonts w:ascii="Alef" w:hAnsi="Alef" w:cs="Alef"/>
          <w:rtl/>
        </w:rPr>
        <w:t>שיש לו זיקה כלשהי לעולמות החשמל</w:t>
      </w:r>
      <w:r>
        <w:rPr>
          <w:rFonts w:ascii="Alef" w:hAnsi="Alef" w:cs="Alef" w:hint="cs"/>
          <w:rtl/>
        </w:rPr>
        <w:t>;</w:t>
      </w:r>
      <w:r w:rsidRPr="00373B11">
        <w:rPr>
          <w:rFonts w:ascii="Alef" w:hAnsi="Alef" w:cs="Alef"/>
          <w:rtl/>
        </w:rPr>
        <w:t xml:space="preserve"> במכרז להקמת בסיס צבאי ייחשב מתחרה </w:t>
      </w:r>
      <w:r>
        <w:rPr>
          <w:rFonts w:ascii="Alef" w:hAnsi="Alef" w:cs="Alef" w:hint="cs"/>
          <w:rtl/>
        </w:rPr>
        <w:t xml:space="preserve">רק </w:t>
      </w:r>
      <w:r w:rsidRPr="00373B11">
        <w:rPr>
          <w:rFonts w:ascii="Alef" w:hAnsi="Alef" w:cs="Alef"/>
          <w:rtl/>
        </w:rPr>
        <w:t xml:space="preserve">מי שיש לו זיקה לעולמות הבנייה והקבלנות. לפיכך, </w:t>
      </w:r>
      <w:r>
        <w:rPr>
          <w:rFonts w:ascii="Alef" w:hAnsi="Alef" w:cs="Alef" w:hint="cs"/>
          <w:rtl/>
        </w:rPr>
        <w:t xml:space="preserve">במקרים מסוימים, </w:t>
      </w:r>
      <w:r w:rsidRPr="00373B11">
        <w:rPr>
          <w:rFonts w:ascii="Alef" w:hAnsi="Alef" w:cs="Alef"/>
          <w:rtl/>
        </w:rPr>
        <w:t xml:space="preserve">תנאי הסף בשלב המיון המוקדם יוצרים גדר למי שייחשב כמתחרה פוטנציאלי במכרז </w:t>
      </w:r>
      <w:r>
        <w:rPr>
          <w:rFonts w:ascii="Alef" w:hAnsi="Alef" w:cs="Alef" w:hint="cs"/>
          <w:rtl/>
        </w:rPr>
        <w:t>ובלבד שיש לו</w:t>
      </w:r>
      <w:r w:rsidRPr="00373B11">
        <w:rPr>
          <w:rFonts w:ascii="Alef" w:hAnsi="Alef" w:cs="Alef"/>
          <w:rtl/>
        </w:rPr>
        <w:t xml:space="preserve"> </w:t>
      </w:r>
      <w:r>
        <w:rPr>
          <w:rFonts w:ascii="Alef" w:hAnsi="Alef" w:cs="Alef" w:hint="cs"/>
          <w:rtl/>
        </w:rPr>
        <w:t xml:space="preserve">בנוסף </w:t>
      </w:r>
      <w:r w:rsidRPr="00373B11">
        <w:rPr>
          <w:rFonts w:ascii="Alef" w:hAnsi="Alef" w:cs="Alef"/>
          <w:rtl/>
        </w:rPr>
        <w:t xml:space="preserve">זיקה </w:t>
      </w:r>
      <w:r>
        <w:rPr>
          <w:rFonts w:ascii="Alef" w:hAnsi="Alef" w:cs="Alef" w:hint="cs"/>
          <w:rtl/>
        </w:rPr>
        <w:t>כלשהי ולו עקיפה</w:t>
      </w:r>
      <w:r w:rsidRPr="00373B11">
        <w:rPr>
          <w:rFonts w:ascii="Alef" w:hAnsi="Alef" w:cs="Alef"/>
          <w:rtl/>
        </w:rPr>
        <w:t xml:space="preserve"> לתחום המכרז. </w:t>
      </w:r>
    </w:p>
    <w:p w:rsidR="00514817" w:rsidRPr="00EB48E1" w:rsidRDefault="00514817" w:rsidP="00514817">
      <w:pPr>
        <w:pStyle w:val="ListParagraph"/>
        <w:ind w:left="360"/>
        <w:jc w:val="both"/>
        <w:rPr>
          <w:rFonts w:ascii="Alef" w:hAnsi="Alef" w:cs="Alef"/>
          <w:rtl/>
        </w:rPr>
      </w:pPr>
    </w:p>
    <w:p w:rsidR="003B55CE" w:rsidRPr="00373B11" w:rsidRDefault="003B55CE" w:rsidP="003B55CE">
      <w:pPr>
        <w:pStyle w:val="ListParagraph"/>
        <w:ind w:left="360"/>
        <w:jc w:val="both"/>
        <w:rPr>
          <w:rFonts w:ascii="Alef" w:hAnsi="Alef" w:cs="Alef"/>
          <w:rtl/>
        </w:rPr>
      </w:pPr>
      <w:r>
        <w:rPr>
          <w:rFonts w:ascii="Alef" w:hAnsi="Alef" w:cs="Alef" w:hint="cs"/>
          <w:rtl/>
        </w:rPr>
        <w:t>אמור מעתה,</w:t>
      </w:r>
      <w:r w:rsidRPr="00373B11">
        <w:rPr>
          <w:rFonts w:ascii="Alef" w:hAnsi="Alef" w:cs="Alef"/>
          <w:rtl/>
        </w:rPr>
        <w:t xml:space="preserve"> חבירה בין גורמים שעומדים </w:t>
      </w:r>
      <w:r>
        <w:rPr>
          <w:rFonts w:ascii="Alef" w:hAnsi="Alef" w:cs="Alef" w:hint="cs"/>
          <w:rtl/>
        </w:rPr>
        <w:t>או יכולים לעמוד</w:t>
      </w:r>
      <w:r w:rsidRPr="00373B11">
        <w:rPr>
          <w:rFonts w:ascii="Alef" w:hAnsi="Alef" w:cs="Alef"/>
          <w:rtl/>
        </w:rPr>
        <w:t xml:space="preserve"> בדרישות הסף</w:t>
      </w:r>
      <w:r>
        <w:rPr>
          <w:rFonts w:ascii="Alef" w:hAnsi="Alef" w:cs="Alef" w:hint="cs"/>
          <w:rtl/>
        </w:rPr>
        <w:t xml:space="preserve"> ובעלי זיקה כלשהי לתחום הפעילות בו עוסק המכרז</w:t>
      </w:r>
      <w:r w:rsidRPr="00373B11">
        <w:rPr>
          <w:rFonts w:ascii="Alef" w:hAnsi="Alef" w:cs="Alef"/>
          <w:rtl/>
        </w:rPr>
        <w:t xml:space="preserve">, </w:t>
      </w:r>
      <w:r>
        <w:rPr>
          <w:rFonts w:ascii="Alef" w:hAnsi="Alef" w:cs="Alef" w:hint="cs"/>
          <w:rtl/>
        </w:rPr>
        <w:t xml:space="preserve">או בין גורמים המתחרים זה בזה בתחום הפעילות שבו </w:t>
      </w:r>
      <w:r>
        <w:rPr>
          <w:rFonts w:ascii="Alef" w:hAnsi="Alef" w:cs="Alef" w:hint="cs"/>
          <w:rtl/>
        </w:rPr>
        <w:lastRenderedPageBreak/>
        <w:t>עוסק המכרז אף אם אינם עומדים או יכולים לעמוד בדרישות הסף תיחשב</w:t>
      </w:r>
      <w:r w:rsidRPr="00373B11">
        <w:rPr>
          <w:rFonts w:ascii="Alef" w:hAnsi="Alef" w:cs="Alef"/>
          <w:rtl/>
        </w:rPr>
        <w:t xml:space="preserve"> לצורך ענייננו כחבירה בין מתחרים</w:t>
      </w:r>
      <w:r>
        <w:rPr>
          <w:rFonts w:ascii="Alef" w:hAnsi="Alef" w:cs="Alef" w:hint="cs"/>
          <w:rtl/>
        </w:rPr>
        <w:t xml:space="preserve"> ("</w:t>
      </w:r>
      <w:r w:rsidRPr="00EE5188">
        <w:rPr>
          <w:rFonts w:ascii="Alef" w:hAnsi="Alef" w:cs="Alef" w:hint="eastAsia"/>
          <w:b/>
          <w:bCs/>
          <w:rtl/>
        </w:rPr>
        <w:t>חבירה</w:t>
      </w:r>
      <w:r w:rsidRPr="00EE5188">
        <w:rPr>
          <w:rFonts w:ascii="Alef" w:hAnsi="Alef" w:cs="Alef"/>
          <w:b/>
          <w:bCs/>
          <w:rtl/>
        </w:rPr>
        <w:t xml:space="preserve"> בין </w:t>
      </w:r>
      <w:r>
        <w:rPr>
          <w:rFonts w:ascii="Alef" w:hAnsi="Alef" w:cs="Alef" w:hint="cs"/>
          <w:b/>
          <w:bCs/>
          <w:rtl/>
        </w:rPr>
        <w:t xml:space="preserve">גורמים </w:t>
      </w:r>
      <w:r w:rsidRPr="00EE5188">
        <w:rPr>
          <w:rFonts w:ascii="Alef" w:hAnsi="Alef" w:cs="Alef" w:hint="eastAsia"/>
          <w:b/>
          <w:bCs/>
          <w:rtl/>
        </w:rPr>
        <w:t>מתחרים</w:t>
      </w:r>
      <w:r>
        <w:rPr>
          <w:rFonts w:ascii="Alef" w:hAnsi="Alef" w:cs="Alef" w:hint="cs"/>
          <w:rtl/>
        </w:rPr>
        <w:t>"). גילוי דעת זה מתייחס לחבירה בין גורמים מתחרים, בעוד ש</w:t>
      </w:r>
      <w:r w:rsidRPr="00373B11">
        <w:rPr>
          <w:rFonts w:ascii="Alef" w:hAnsi="Alef" w:cs="Alef"/>
          <w:rtl/>
        </w:rPr>
        <w:t xml:space="preserve">חבירה </w:t>
      </w:r>
      <w:r>
        <w:rPr>
          <w:rFonts w:ascii="Alef" w:hAnsi="Alef" w:cs="Alef" w:hint="cs"/>
          <w:rtl/>
        </w:rPr>
        <w:t xml:space="preserve">בין גורמים שאינם מתחרים </w:t>
      </w:r>
      <w:r w:rsidRPr="00373B11">
        <w:rPr>
          <w:rFonts w:ascii="Alef" w:hAnsi="Alef" w:cs="Alef"/>
          <w:rtl/>
        </w:rPr>
        <w:t xml:space="preserve">חורגת מגבולות גילוי </w:t>
      </w:r>
      <w:r>
        <w:rPr>
          <w:rFonts w:ascii="Alef" w:hAnsi="Alef" w:cs="Alef" w:hint="cs"/>
          <w:rtl/>
        </w:rPr>
        <w:t>ה</w:t>
      </w:r>
      <w:r w:rsidRPr="00373B11">
        <w:rPr>
          <w:rFonts w:ascii="Alef" w:hAnsi="Alef" w:cs="Alef"/>
          <w:rtl/>
        </w:rPr>
        <w:t>דעת.</w:t>
      </w:r>
      <w:r w:rsidRPr="00373B11">
        <w:rPr>
          <w:rStyle w:val="FootnoteReference"/>
          <w:rFonts w:ascii="Alef" w:hAnsi="Alef" w:cs="Alef"/>
          <w:rtl/>
        </w:rPr>
        <w:footnoteReference w:id="10"/>
      </w:r>
      <w:r w:rsidRPr="00373B11">
        <w:rPr>
          <w:rFonts w:ascii="Alef" w:hAnsi="Alef" w:cs="Alef"/>
          <w:rtl/>
        </w:rPr>
        <w:t xml:space="preserve"> </w:t>
      </w:r>
    </w:p>
    <w:p w:rsidR="003B55CE" w:rsidRDefault="003B55CE" w:rsidP="003B55CE">
      <w:pPr>
        <w:pStyle w:val="ListParagraph"/>
        <w:ind w:left="360"/>
        <w:rPr>
          <w:rFonts w:ascii="Alef" w:hAnsi="Alef" w:cs="Alef"/>
          <w:rtl/>
        </w:rPr>
      </w:pPr>
    </w:p>
    <w:p w:rsidR="003B55CE" w:rsidRPr="00373B11" w:rsidRDefault="003B55CE" w:rsidP="003B55CE">
      <w:pPr>
        <w:pStyle w:val="ListParagraph"/>
        <w:ind w:left="360"/>
        <w:jc w:val="both"/>
        <w:rPr>
          <w:rFonts w:ascii="Alef" w:hAnsi="Alef" w:cs="Alef"/>
          <w:rtl/>
        </w:rPr>
      </w:pPr>
      <w:r>
        <w:rPr>
          <w:rFonts w:ascii="Alef" w:hAnsi="Alef" w:cs="Alef" w:hint="cs"/>
          <w:rtl/>
        </w:rPr>
        <w:t xml:space="preserve">בחינת השאלה האם גורמים הם מתחרים פוטנציאלים במכרז ולפיכך יש להתייחס אליהם כמתחרים לצורך גילוי דעת זה, מתייחסת לשלב </w:t>
      </w:r>
      <w:r w:rsidRPr="00373B11">
        <w:rPr>
          <w:rFonts w:ascii="Alef" w:hAnsi="Alef" w:cs="Alef"/>
          <w:rtl/>
        </w:rPr>
        <w:t xml:space="preserve">טרם </w:t>
      </w:r>
      <w:r>
        <w:rPr>
          <w:rFonts w:ascii="Alef" w:hAnsi="Alef" w:cs="Alef" w:hint="cs"/>
          <w:rtl/>
        </w:rPr>
        <w:t xml:space="preserve">ההתקשרות מושא החבירה וטרם הגשת בקשת פטור לחבירה במכרז, </w:t>
      </w:r>
      <w:r w:rsidRPr="00373B11">
        <w:rPr>
          <w:rFonts w:ascii="Alef" w:hAnsi="Alef" w:cs="Alef"/>
          <w:rtl/>
        </w:rPr>
        <w:t>בשעה שכל גורם</w:t>
      </w:r>
      <w:r>
        <w:rPr>
          <w:rFonts w:ascii="Alef" w:hAnsi="Alef" w:cs="Alef" w:hint="cs"/>
          <w:rtl/>
        </w:rPr>
        <w:t xml:space="preserve"> </w:t>
      </w:r>
      <w:r w:rsidRPr="00373B11">
        <w:rPr>
          <w:rFonts w:ascii="Alef" w:hAnsi="Alef" w:cs="Alef"/>
          <w:rtl/>
        </w:rPr>
        <w:t xml:space="preserve">יכול להחליט החלטה עצמאית ונטולת כבילות להתחרות במכרז. ברי שאם גורם נמנע מלעמוד בדרישות הסף משום שהגיע להבנה עם מתחרה פוטנציאלי אחר כי הם </w:t>
      </w:r>
      <w:r>
        <w:rPr>
          <w:rFonts w:ascii="Alef" w:hAnsi="Alef" w:cs="Alef" w:hint="cs"/>
          <w:rtl/>
        </w:rPr>
        <w:t>יחברו</w:t>
      </w:r>
      <w:r w:rsidRPr="00373B11">
        <w:rPr>
          <w:rFonts w:ascii="Alef" w:hAnsi="Alef" w:cs="Alef"/>
          <w:rtl/>
        </w:rPr>
        <w:t xml:space="preserve"> להגשת הצעה משותפת </w:t>
      </w:r>
      <w:r w:rsidRPr="00373B11">
        <w:rPr>
          <w:rFonts w:ascii="Alef" w:hAnsi="Alef" w:cs="Alef"/>
          <w:rtl/>
        </w:rPr>
        <w:lastRenderedPageBreak/>
        <w:t>במכרז</w:t>
      </w:r>
      <w:r>
        <w:rPr>
          <w:rFonts w:ascii="Alef" w:hAnsi="Alef" w:cs="Alef" w:hint="cs"/>
          <w:rtl/>
        </w:rPr>
        <w:t xml:space="preserve"> (או ייגשו יחד לשלב המיון המוקדם)</w:t>
      </w:r>
      <w:r w:rsidRPr="00373B11">
        <w:rPr>
          <w:rFonts w:ascii="Alef" w:hAnsi="Alef" w:cs="Alef"/>
          <w:rtl/>
        </w:rPr>
        <w:t xml:space="preserve">, לא ניתן בשל כך בלבד לראות </w:t>
      </w:r>
      <w:r>
        <w:rPr>
          <w:rFonts w:ascii="Alef" w:hAnsi="Alef" w:cs="Alef" w:hint="cs"/>
          <w:rtl/>
        </w:rPr>
        <w:t xml:space="preserve">את </w:t>
      </w:r>
      <w:r w:rsidRPr="00373B11">
        <w:rPr>
          <w:rFonts w:ascii="Alef" w:hAnsi="Alef" w:cs="Alef"/>
          <w:rtl/>
        </w:rPr>
        <w:t xml:space="preserve">אותו גורם כמי שאינו מתחרה במכרז. זאת משום שהשאלה אם הגורם הוא מתחרה פוטנציאלי במכרז צריכה להיבחן טרם הגיעו המתחרים הפוטנציאלים במכרז להבנה ביניהם. לאחר שהגיעו </w:t>
      </w:r>
      <w:r>
        <w:rPr>
          <w:rFonts w:ascii="Alef" w:hAnsi="Alef" w:cs="Alef" w:hint="cs"/>
          <w:rtl/>
        </w:rPr>
        <w:t xml:space="preserve">מתחרים </w:t>
      </w:r>
      <w:r w:rsidRPr="00373B11">
        <w:rPr>
          <w:rFonts w:ascii="Alef" w:hAnsi="Alef" w:cs="Alef"/>
          <w:rtl/>
        </w:rPr>
        <w:t>להבנה ביניהם</w:t>
      </w:r>
      <w:r>
        <w:rPr>
          <w:rFonts w:ascii="Alef" w:hAnsi="Alef" w:cs="Alef" w:hint="cs"/>
          <w:rtl/>
        </w:rPr>
        <w:t>,</w:t>
      </w:r>
      <w:r w:rsidRPr="00373B11">
        <w:rPr>
          <w:rFonts w:ascii="Alef" w:hAnsi="Alef" w:cs="Alef"/>
          <w:rtl/>
        </w:rPr>
        <w:t xml:space="preserve"> ההסכמות שבין שני הגורמים משפיעות על התמריצים שלהם ועל נכונותם</w:t>
      </w:r>
      <w:r>
        <w:rPr>
          <w:rFonts w:ascii="Alef" w:hAnsi="Alef" w:cs="Alef"/>
          <w:rtl/>
        </w:rPr>
        <w:t xml:space="preserve"> להתייצב כמציעים עצמאיים במכרז.</w:t>
      </w:r>
      <w:r w:rsidRPr="00373B11">
        <w:rPr>
          <w:rFonts w:ascii="Alef" w:hAnsi="Alef" w:cs="Alef"/>
          <w:rtl/>
        </w:rPr>
        <w:t xml:space="preserve"> כך לדוגמה אם במכרז להקמתו של כביש נמנע גורם שעומד בדרישות הסף מלהתייצב לסיור קבלנים הנדרש על מנת להגיש הצעה או נמנע מרכישת מסמכי המכרז וזאת בהסתמך על הבנה שלו עם מתחרה אחר שכך יוכלו השניים להגיש הצעה משותפת במכרז, אין בהתנהלות זאת כדי להפוך את הגורם שנפסל משום שלא התייצב לסיור קבלנים או לא רכש את מסמכי המכרז לגורם שאינו מתחרה. החבירה תיחשב לחבירה בין מתחרים למרות שגורם אחד אינו עומד בדרישות הסף משום שחוסר עמידתו בדרישות הסף נובעת מההבנה שבינו לבין גורם אחר על חבירה במכרז. </w:t>
      </w:r>
    </w:p>
    <w:p w:rsidR="003B55CE" w:rsidRDefault="003B55CE" w:rsidP="003B55CE">
      <w:pPr>
        <w:pStyle w:val="ListParagraph"/>
        <w:rPr>
          <w:rFonts w:ascii="Alef" w:hAnsi="Alef" w:cs="Alef"/>
          <w:u w:val="single"/>
        </w:rPr>
      </w:pPr>
    </w:p>
    <w:p w:rsidR="003B55CE" w:rsidRPr="00E37143" w:rsidRDefault="003B55CE" w:rsidP="003B55CE">
      <w:pPr>
        <w:pStyle w:val="ListParagraph"/>
        <w:numPr>
          <w:ilvl w:val="0"/>
          <w:numId w:val="10"/>
        </w:numPr>
        <w:spacing w:after="160" w:line="259" w:lineRule="auto"/>
        <w:ind w:left="360"/>
        <w:rPr>
          <w:rFonts w:ascii="Alef" w:hAnsi="Alef" w:cs="Alef"/>
          <w:u w:val="single"/>
        </w:rPr>
      </w:pPr>
      <w:r w:rsidRPr="00E37143">
        <w:rPr>
          <w:rFonts w:ascii="Alef" w:hAnsi="Alef" w:cs="Alef"/>
          <w:u w:val="single"/>
          <w:rtl/>
        </w:rPr>
        <w:t>מהו שלב המיון המוקדם במכרז?</w:t>
      </w:r>
    </w:p>
    <w:p w:rsidR="003B55CE" w:rsidRDefault="003B55CE" w:rsidP="003B55CE">
      <w:pPr>
        <w:pStyle w:val="ListParagraph"/>
        <w:ind w:left="360"/>
        <w:jc w:val="both"/>
        <w:rPr>
          <w:rFonts w:ascii="Alef" w:hAnsi="Alef" w:cs="Alef"/>
          <w:rtl/>
        </w:rPr>
      </w:pPr>
      <w:r>
        <w:rPr>
          <w:rFonts w:ascii="Alef" w:hAnsi="Alef" w:cs="Alef" w:hint="cs"/>
          <w:rtl/>
        </w:rPr>
        <w:lastRenderedPageBreak/>
        <w:t xml:space="preserve">לעיתים, סבור עורך המכרז שיש לפצל את המכרז לשני שלבים: שלב מיון מוקדם שבו, בדרך כלל, עורך המכרז מתאר בקווים כלליים מהו מושא המכרז ומפרט מהם תנאי הסף להשתתפות בשלב המיון המוקדם. שלב זה </w:t>
      </w:r>
      <w:r w:rsidRPr="00373B11">
        <w:rPr>
          <w:rFonts w:ascii="Alef" w:hAnsi="Alef" w:cs="Alef"/>
          <w:rtl/>
        </w:rPr>
        <w:t>לר</w:t>
      </w:r>
      <w:r>
        <w:rPr>
          <w:rFonts w:ascii="Alef" w:hAnsi="Alef" w:cs="Alef" w:hint="cs"/>
          <w:rtl/>
        </w:rPr>
        <w:t>ו</w:t>
      </w:r>
      <w:r w:rsidRPr="00373B11">
        <w:rPr>
          <w:rFonts w:ascii="Alef" w:hAnsi="Alef" w:cs="Alef"/>
          <w:rtl/>
        </w:rPr>
        <w:t xml:space="preserve">ב משרטט עבור עורך המכרז מי הגורמים אשר שוקלים להתחרות במכרז ויש להם היכולות הבסיסיות הנדרשות על מנת להגיש הצעה במכרז. </w:t>
      </w:r>
    </w:p>
    <w:p w:rsidR="003B55CE" w:rsidRPr="00373B11" w:rsidRDefault="003B55CE" w:rsidP="003B55CE">
      <w:pPr>
        <w:pStyle w:val="ListParagraph"/>
        <w:ind w:left="360"/>
        <w:jc w:val="both"/>
        <w:rPr>
          <w:rFonts w:ascii="Alef" w:hAnsi="Alef" w:cs="Alef"/>
          <w:rtl/>
        </w:rPr>
      </w:pPr>
      <w:r>
        <w:rPr>
          <w:rFonts w:ascii="Alef" w:hAnsi="Alef" w:cs="Alef" w:hint="cs"/>
          <w:rtl/>
        </w:rPr>
        <w:t>דרישות הסף הנדרשות בשלב המיון המוקדם יכולות להיות דרישות סף פיננסיות, מקצועיות או אחרות. במקרים רבים קיומן של דרישות סף בתחומים שונים מעודד גופים שמגלים עניין במכרז ושיש להם יכולות משלימות, לייצר קבוצות אשר יגישו הצעה משותפת במכרז. כך למשל מכרז הדורש בשלב המיון המוקדם מומחיות הנדסית מסוגים שונים, יכולת מימון פיננסי וניסיון בפרויקטים של בינוי עשוי לייצר בשלב המיון המוקדם שורה של קבוצות המשלבות בתוכן גופים בעלי יכולות משלימות המייצרים עמידה משותפת של הקבוצה בדרישות הסף.</w:t>
      </w:r>
      <w:r>
        <w:rPr>
          <w:rStyle w:val="FootnoteReference"/>
          <w:rFonts w:ascii="Alef" w:hAnsi="Alef" w:cs="Alef"/>
          <w:rtl/>
        </w:rPr>
        <w:footnoteReference w:id="11"/>
      </w:r>
      <w:r>
        <w:rPr>
          <w:rFonts w:ascii="Alef" w:hAnsi="Alef" w:cs="Alef" w:hint="cs"/>
          <w:rtl/>
        </w:rPr>
        <w:t xml:space="preserve"> </w:t>
      </w:r>
    </w:p>
    <w:p w:rsidR="003B55CE" w:rsidRDefault="003B55CE" w:rsidP="003B55CE">
      <w:pPr>
        <w:pStyle w:val="ListParagraph"/>
        <w:ind w:left="360"/>
        <w:jc w:val="both"/>
        <w:rPr>
          <w:rFonts w:ascii="Alef" w:hAnsi="Alef" w:cs="Alef"/>
          <w:rtl/>
        </w:rPr>
      </w:pPr>
      <w:r w:rsidRPr="00373B11">
        <w:rPr>
          <w:rFonts w:ascii="Alef" w:hAnsi="Alef" w:cs="Alef"/>
          <w:rtl/>
        </w:rPr>
        <w:lastRenderedPageBreak/>
        <w:t>לאחר שלב המיון המוקדם נערך בין הגופים</w:t>
      </w:r>
      <w:r>
        <w:rPr>
          <w:rFonts w:ascii="Alef" w:hAnsi="Alef" w:cs="Alef"/>
          <w:rtl/>
        </w:rPr>
        <w:t xml:space="preserve"> שעברו את שלב המיון המוקדם</w:t>
      </w:r>
      <w:r>
        <w:rPr>
          <w:rFonts w:ascii="Alef" w:hAnsi="Alef" w:cs="Alef" w:hint="cs"/>
          <w:rtl/>
        </w:rPr>
        <w:t xml:space="preserve"> שלב המכרז</w:t>
      </w:r>
      <w:r w:rsidRPr="00373B11">
        <w:rPr>
          <w:rFonts w:ascii="Alef" w:hAnsi="Alef" w:cs="Alef"/>
          <w:rtl/>
        </w:rPr>
        <w:t xml:space="preserve"> עצמו בו הם מתחרים זה בזה על מושא המכרז. </w:t>
      </w:r>
    </w:p>
    <w:p w:rsidR="003B55CE" w:rsidRDefault="003B55CE" w:rsidP="003B55CE">
      <w:pPr>
        <w:pStyle w:val="ListParagraph"/>
        <w:ind w:left="360"/>
        <w:jc w:val="both"/>
        <w:rPr>
          <w:rFonts w:ascii="Alef" w:hAnsi="Alef" w:cs="Alef"/>
          <w:rtl/>
        </w:rPr>
      </w:pPr>
    </w:p>
    <w:p w:rsidR="003B55CE" w:rsidRDefault="003B55CE" w:rsidP="003B55CE">
      <w:pPr>
        <w:pStyle w:val="ListParagraph"/>
        <w:ind w:left="360"/>
        <w:jc w:val="both"/>
        <w:rPr>
          <w:rFonts w:ascii="Alef" w:hAnsi="Alef" w:cs="Alef"/>
          <w:rtl/>
        </w:rPr>
      </w:pPr>
      <w:r>
        <w:rPr>
          <w:rFonts w:ascii="Alef" w:hAnsi="Alef" w:cs="Alef" w:hint="cs"/>
          <w:rtl/>
        </w:rPr>
        <w:t>בגילוי דעת זה המונח "חבירה בין גורמים מתחרים במכרז" מתייחס הן לחבירה לצורך התמודדות משותפת בשלב המיון המוקדם והן לחבירה לצורך הגשת הצעה משותפת במכרז עצמו.</w:t>
      </w:r>
    </w:p>
    <w:p w:rsidR="003B55CE" w:rsidRPr="007B6665" w:rsidRDefault="003B55CE" w:rsidP="003B55CE">
      <w:pPr>
        <w:ind w:left="360"/>
        <w:jc w:val="both"/>
        <w:rPr>
          <w:rFonts w:ascii="Alef" w:hAnsi="Alef" w:cs="Alef"/>
          <w:rtl/>
        </w:rPr>
      </w:pPr>
      <w:r>
        <w:rPr>
          <w:rFonts w:ascii="Alef" w:hAnsi="Alef" w:cs="Alef" w:hint="cs"/>
          <w:rtl/>
        </w:rPr>
        <w:t xml:space="preserve">בפני הרשות נשמעו טענות לפיהן חבירה בין מתחרים טרם שלב המיון המוקדם אינה נחשבת להסדר כובל ולפיכך אינה מצריכה הגשת בקשת פטור מאישור הסדר כובל. גילוי דעת זה בא, בין היתר, להבהיר כי לעמדת הממונה, גם חבירה בין גורמים מתחרים במכרז שנעשית טרם שלב המיון המוקדם </w:t>
      </w:r>
      <w:r>
        <w:rPr>
          <w:rFonts w:ascii="Alef" w:hAnsi="Alef" w:cs="Alef" w:hint="cs"/>
          <w:rtl/>
        </w:rPr>
        <w:lastRenderedPageBreak/>
        <w:t>מהווה הסדר כובל הדורש קבלת אישור מאת בית הדין לתחרות או פטור מאישור הסדר כובל מאת הממונה.</w:t>
      </w:r>
      <w:r>
        <w:rPr>
          <w:rStyle w:val="FootnoteReference"/>
          <w:rFonts w:ascii="Alef" w:hAnsi="Alef" w:cs="Alef"/>
          <w:rtl/>
        </w:rPr>
        <w:footnoteReference w:id="12"/>
      </w:r>
    </w:p>
    <w:p w:rsidR="003B55CE" w:rsidRPr="008E23E0" w:rsidRDefault="003B55CE" w:rsidP="003B55CE">
      <w:pPr>
        <w:pStyle w:val="ListParagraph"/>
        <w:numPr>
          <w:ilvl w:val="0"/>
          <w:numId w:val="14"/>
        </w:numPr>
        <w:spacing w:after="160" w:line="259" w:lineRule="auto"/>
        <w:rPr>
          <w:rFonts w:ascii="Alef" w:hAnsi="Alef" w:cs="Alef"/>
          <w:b/>
          <w:bCs/>
          <w:rtl/>
        </w:rPr>
      </w:pPr>
      <w:r w:rsidRPr="008E23E0">
        <w:rPr>
          <w:rFonts w:ascii="Alef" w:hAnsi="Alef" w:cs="Alef" w:hint="eastAsia"/>
          <w:b/>
          <w:bCs/>
          <w:rtl/>
        </w:rPr>
        <w:t>החששות</w:t>
      </w:r>
      <w:r w:rsidRPr="008E23E0">
        <w:rPr>
          <w:rFonts w:ascii="Alef" w:hAnsi="Alef" w:cs="Alef"/>
          <w:b/>
          <w:bCs/>
          <w:rtl/>
        </w:rPr>
        <w:t xml:space="preserve"> התחרותיים הנובעים מחבירה בין מתחרים </w:t>
      </w:r>
      <w:r w:rsidRPr="008E23E0">
        <w:rPr>
          <w:rFonts w:ascii="Alef" w:hAnsi="Alef" w:cs="Alef" w:hint="eastAsia"/>
          <w:b/>
          <w:bCs/>
          <w:rtl/>
        </w:rPr>
        <w:t>במכרז</w:t>
      </w:r>
    </w:p>
    <w:p w:rsidR="003B55CE" w:rsidRDefault="003B55CE" w:rsidP="003B55CE">
      <w:pPr>
        <w:jc w:val="both"/>
        <w:rPr>
          <w:rFonts w:ascii="Alef" w:hAnsi="Alef" w:cs="Alef"/>
          <w:rtl/>
        </w:rPr>
      </w:pPr>
      <w:r>
        <w:rPr>
          <w:rFonts w:ascii="Alef" w:hAnsi="Alef" w:cs="Alef" w:hint="cs"/>
          <w:rtl/>
        </w:rPr>
        <w:t>בבואה לבחון בקשת פטור מאישור הסדר כובל, על רקע</w:t>
      </w:r>
      <w:r w:rsidRPr="00373B11">
        <w:rPr>
          <w:rFonts w:ascii="Alef" w:hAnsi="Alef" w:cs="Alef"/>
          <w:rtl/>
        </w:rPr>
        <w:t xml:space="preserve"> מושגי היסוד הגודרים את ההליך שבו מדובר ו</w:t>
      </w:r>
      <w:r>
        <w:rPr>
          <w:rFonts w:ascii="Alef" w:hAnsi="Alef" w:cs="Alef" w:hint="cs"/>
          <w:rtl/>
        </w:rPr>
        <w:t xml:space="preserve">לאחר שרטוט </w:t>
      </w:r>
      <w:r w:rsidRPr="00373B11">
        <w:rPr>
          <w:rFonts w:ascii="Alef" w:hAnsi="Alef" w:cs="Alef"/>
          <w:rtl/>
        </w:rPr>
        <w:t>מפת ה</w:t>
      </w:r>
      <w:r>
        <w:rPr>
          <w:rFonts w:ascii="Alef" w:hAnsi="Alef" w:cs="Alef"/>
          <w:rtl/>
        </w:rPr>
        <w:t>מתחרים הפוטנציאלים</w:t>
      </w:r>
      <w:r>
        <w:rPr>
          <w:rFonts w:ascii="Alef" w:hAnsi="Alef" w:cs="Alef" w:hint="cs"/>
          <w:rtl/>
        </w:rPr>
        <w:t>,</w:t>
      </w:r>
      <w:r>
        <w:rPr>
          <w:rFonts w:ascii="Alef" w:hAnsi="Alef" w:cs="Alef"/>
          <w:rtl/>
        </w:rPr>
        <w:t xml:space="preserve"> </w:t>
      </w:r>
      <w:r>
        <w:rPr>
          <w:rFonts w:ascii="Alef" w:hAnsi="Alef" w:cs="Alef" w:hint="cs"/>
          <w:rtl/>
        </w:rPr>
        <w:t xml:space="preserve">הממונה תעריך את </w:t>
      </w:r>
      <w:r w:rsidRPr="00373B11">
        <w:rPr>
          <w:rFonts w:ascii="Alef" w:hAnsi="Alef" w:cs="Alef"/>
          <w:rtl/>
        </w:rPr>
        <w:t>מידת הפגיעה בתחרות ש</w:t>
      </w:r>
      <w:r>
        <w:rPr>
          <w:rFonts w:ascii="Alef" w:hAnsi="Alef" w:cs="Alef" w:hint="cs"/>
          <w:rtl/>
        </w:rPr>
        <w:t>עלולה להיגרם</w:t>
      </w:r>
      <w:r w:rsidRPr="00373B11">
        <w:rPr>
          <w:rFonts w:ascii="Alef" w:hAnsi="Alef" w:cs="Alef"/>
          <w:rtl/>
        </w:rPr>
        <w:t xml:space="preserve"> כתוצאה מן החבירה. </w:t>
      </w:r>
    </w:p>
    <w:p w:rsidR="003B55CE" w:rsidRDefault="003B55CE" w:rsidP="003B55CE">
      <w:pPr>
        <w:jc w:val="both"/>
        <w:rPr>
          <w:rFonts w:ascii="Alef" w:hAnsi="Alef" w:cs="Alef"/>
          <w:rtl/>
        </w:rPr>
      </w:pPr>
      <w:r>
        <w:rPr>
          <w:rFonts w:ascii="Alef" w:hAnsi="Alef" w:cs="Alef" w:hint="cs"/>
          <w:rtl/>
        </w:rPr>
        <w:t xml:space="preserve">להלן יפורטו סוגי חששות הנובעים מחבירה של מתחרים במכרז. סוגי החששות המפורטים להלן אינם רשימה סגורה וכל חבירה בין מתחרים במכרז תיבחן על פי נסיבותיה. הבנת החששות העולים מחבירה בין מתחרים מסייעת גם בניתוח של מידת הפגיעה הנגרמת כתוצאה מן החבירה. את החששות ניתן לחלק לשתי זירות תחרות עיקריות: </w:t>
      </w:r>
    </w:p>
    <w:p w:rsidR="003B55CE" w:rsidRDefault="003B55CE" w:rsidP="003B55CE">
      <w:pPr>
        <w:jc w:val="both"/>
        <w:rPr>
          <w:rFonts w:ascii="Alef" w:hAnsi="Alef" w:cs="Alef"/>
          <w:rtl/>
        </w:rPr>
      </w:pPr>
      <w:r>
        <w:rPr>
          <w:rFonts w:ascii="Alef" w:hAnsi="Alef" w:cs="Alef" w:hint="cs"/>
          <w:rtl/>
        </w:rPr>
        <w:t xml:space="preserve">הזירה הראשונה היא זירת המכרז עצמו. חבירה בין גורמים מתחרים מצמצמת את מספר הגורמים המתחרים במכרז. ככלל, </w:t>
      </w:r>
      <w:r>
        <w:rPr>
          <w:rFonts w:ascii="Alef" w:hAnsi="Alef" w:cs="Alef" w:hint="cs"/>
          <w:rtl/>
        </w:rPr>
        <w:lastRenderedPageBreak/>
        <w:t xml:space="preserve">הליך תחרותי מרובה משתתפים וער צפוי להביא לתוצאה הטובה ביותר עבור עורך המכרז שכן הוא מתמרץ את הצדדים להציע את ההצעה המיטבית. ריבוי משתתפים גם מגדיל את ההסתברות שהזוכה במכרז יהיה המתחרה היעיל ביותר, קרי זה בעל העלות הנמוכה ביותר. מיעוט מתחרים במכרז עשוי ליצור למשתתפים במכרז </w:t>
      </w:r>
      <w:proofErr w:type="spellStart"/>
      <w:r>
        <w:rPr>
          <w:rFonts w:ascii="Alef" w:hAnsi="Alef" w:cs="Alef" w:hint="cs"/>
          <w:rtl/>
        </w:rPr>
        <w:t>כח</w:t>
      </w:r>
      <w:proofErr w:type="spellEnd"/>
      <w:r>
        <w:rPr>
          <w:rFonts w:ascii="Alef" w:hAnsi="Alef" w:cs="Alef" w:hint="cs"/>
          <w:rtl/>
        </w:rPr>
        <w:t xml:space="preserve"> שוק כלפי עורך המכרז ולאפשר להם להציע הצעות נחותות בהיבט המחיר או בהיבטים אחרים מתוך ידיעה שהאיום התחרותי במכרז אינו רב. מיעוט מתחרים במכרז עשוי גם לייצר השפעות מתואמות בין המתחרים במכרז בפרט כאשר עסקינן במכרזים אשר כמותם מתפרסמים מעת לעת. במצבים מעין אלה מוצאים עצמם אותם מתחרים ספורים נפגשים במספר מכרזים בזה אחר זה ולפיכך ההיתכנות להיווצרותו של שיווי משקל מתואם, במסגרתו לא יציעו המשתתפים את ההצעה הזולה ביותר או המיטבית בהתאם לפרמטרים שקבועים במכרז, גוברת. יצירת שיווי משקל על-תחרותי שבו אפילו חלק מהמתחרים מבינים כי טוב יהיה להם שלא להפחית את המחירים או שלא להציע הצעה מיטבית, נוח יותר להשגה כאשר יש מספר מתחרים מועט במכרז והוא מתגבר ככל שמדובר במצבים של "משחק חוזר" תכוף יותר.</w:t>
      </w:r>
    </w:p>
    <w:p w:rsidR="003B55CE" w:rsidRDefault="003B55CE" w:rsidP="003B55CE">
      <w:pPr>
        <w:jc w:val="both"/>
        <w:rPr>
          <w:rFonts w:ascii="Alef" w:hAnsi="Alef" w:cs="Alef"/>
          <w:rtl/>
        </w:rPr>
      </w:pPr>
      <w:r>
        <w:rPr>
          <w:rFonts w:ascii="Alef" w:hAnsi="Alef" w:cs="Alef" w:hint="cs"/>
          <w:rtl/>
        </w:rPr>
        <w:t xml:space="preserve">הזירה השנייה היא הזירה שמחוץ למכרז עצמו. מתחרים אשר חוברים ביניהם למיזם משותף עשויים להתחרות גם מחוץ למיזם וחבירתם לקבוצה משותפת במכרז עשויה ליצור ביניהם שולחן </w:t>
      </w:r>
      <w:r>
        <w:rPr>
          <w:rFonts w:ascii="Alef" w:hAnsi="Alef" w:cs="Alef" w:hint="cs"/>
          <w:rtl/>
        </w:rPr>
        <w:lastRenderedPageBreak/>
        <w:t>משותף ולצנן את התמריצים שלהם להתחרות גם מחוץ לזירת התחרות הרלוונטית למיזם.</w:t>
      </w:r>
      <w:r>
        <w:rPr>
          <w:rStyle w:val="FootnoteReference"/>
          <w:rFonts w:ascii="Alef" w:hAnsi="Alef" w:cs="Alef"/>
          <w:rtl/>
        </w:rPr>
        <w:footnoteReference w:id="13"/>
      </w:r>
      <w:r>
        <w:rPr>
          <w:rFonts w:ascii="Alef" w:hAnsi="Alef" w:cs="Alef" w:hint="cs"/>
          <w:rtl/>
        </w:rPr>
        <w:t xml:space="preserve"> </w:t>
      </w:r>
    </w:p>
    <w:p w:rsidR="003B55CE" w:rsidRPr="00373B11" w:rsidRDefault="003B55CE" w:rsidP="003B55CE">
      <w:pPr>
        <w:rPr>
          <w:rFonts w:ascii="Alef" w:hAnsi="Alef" w:cs="Alef"/>
          <w:b/>
          <w:bCs/>
          <w:rtl/>
        </w:rPr>
      </w:pPr>
      <w:r w:rsidRPr="00373B11">
        <w:rPr>
          <w:rFonts w:ascii="Alef" w:hAnsi="Alef" w:cs="Alef"/>
          <w:b/>
          <w:bCs/>
          <w:rtl/>
        </w:rPr>
        <w:t xml:space="preserve">הערכה תחרותית של חבירה בין מתחרים </w:t>
      </w:r>
      <w:r>
        <w:rPr>
          <w:rFonts w:ascii="Alef" w:hAnsi="Alef" w:cs="Alef" w:hint="cs"/>
          <w:b/>
          <w:bCs/>
          <w:rtl/>
        </w:rPr>
        <w:t>במכרז</w:t>
      </w:r>
    </w:p>
    <w:p w:rsidR="003B55CE" w:rsidRPr="00816045" w:rsidRDefault="003B55CE" w:rsidP="003B55CE">
      <w:pPr>
        <w:pStyle w:val="ListParagraph"/>
        <w:numPr>
          <w:ilvl w:val="0"/>
          <w:numId w:val="11"/>
        </w:numPr>
        <w:spacing w:after="160" w:line="259" w:lineRule="auto"/>
        <w:rPr>
          <w:rFonts w:ascii="Alef" w:hAnsi="Alef" w:cs="Alef"/>
          <w:u w:val="single"/>
        </w:rPr>
      </w:pPr>
      <w:r w:rsidRPr="007B3D51">
        <w:rPr>
          <w:rFonts w:ascii="Alef" w:hAnsi="Alef" w:cs="Alef" w:hint="cs"/>
          <w:u w:val="single"/>
          <w:rtl/>
        </w:rPr>
        <w:t xml:space="preserve">מספר המתחרים </w:t>
      </w:r>
    </w:p>
    <w:p w:rsidR="003B55CE" w:rsidRDefault="003B55CE" w:rsidP="003B55CE">
      <w:pPr>
        <w:pStyle w:val="ListParagraph"/>
        <w:ind w:left="360"/>
        <w:jc w:val="both"/>
        <w:rPr>
          <w:rFonts w:ascii="Alef" w:hAnsi="Alef" w:cs="Alef"/>
          <w:rtl/>
        </w:rPr>
      </w:pPr>
      <w:r w:rsidRPr="00FD38D4">
        <w:rPr>
          <w:rFonts w:ascii="Alef" w:hAnsi="Alef" w:cs="Alef"/>
          <w:rtl/>
        </w:rPr>
        <w:t>השאלה כמה מתחרים נדרשים במכרז על מנת שיהפוך להיות מכרז תחרותי אינה שאלה שיש לגביה תשובה אחת ויחידה.</w:t>
      </w:r>
      <w:r>
        <w:rPr>
          <w:rStyle w:val="FootnoteReference"/>
          <w:rFonts w:ascii="Alef" w:hAnsi="Alef" w:cs="Alef"/>
          <w:rtl/>
        </w:rPr>
        <w:footnoteReference w:id="14"/>
      </w:r>
      <w:r w:rsidRPr="00FD38D4">
        <w:rPr>
          <w:rFonts w:ascii="Alef" w:hAnsi="Alef" w:cs="Alef"/>
          <w:rtl/>
        </w:rPr>
        <w:t xml:space="preserve"> </w:t>
      </w:r>
      <w:r>
        <w:rPr>
          <w:rFonts w:ascii="Alef" w:hAnsi="Alef" w:cs="Alef" w:hint="cs"/>
          <w:rtl/>
        </w:rPr>
        <w:t>הדבר</w:t>
      </w:r>
      <w:r w:rsidRPr="00FD38D4">
        <w:rPr>
          <w:rFonts w:ascii="Alef" w:hAnsi="Alef" w:cs="Alef"/>
          <w:rtl/>
        </w:rPr>
        <w:t xml:space="preserve"> תלוי בנסיבות העניין – </w:t>
      </w:r>
      <w:r>
        <w:rPr>
          <w:rFonts w:ascii="Alef" w:hAnsi="Alef" w:cs="Alef" w:hint="cs"/>
          <w:rtl/>
        </w:rPr>
        <w:t xml:space="preserve">לרבות </w:t>
      </w:r>
      <w:r w:rsidRPr="00FD38D4">
        <w:rPr>
          <w:rFonts w:ascii="Alef" w:hAnsi="Alef" w:cs="Alef"/>
          <w:rtl/>
        </w:rPr>
        <w:t xml:space="preserve">אופיו של המכרז, </w:t>
      </w:r>
      <w:r>
        <w:rPr>
          <w:rFonts w:ascii="Alef" w:hAnsi="Alef" w:cs="Alef" w:hint="cs"/>
          <w:rtl/>
        </w:rPr>
        <w:t>המשמעות</w:t>
      </w:r>
      <w:r w:rsidRPr="00FD38D4">
        <w:rPr>
          <w:rFonts w:ascii="Alef" w:hAnsi="Alef" w:cs="Alef"/>
          <w:rtl/>
        </w:rPr>
        <w:t xml:space="preserve"> של המכרז</w:t>
      </w:r>
      <w:r>
        <w:rPr>
          <w:rFonts w:ascii="Alef" w:hAnsi="Alef" w:cs="Alef" w:hint="cs"/>
          <w:rtl/>
        </w:rPr>
        <w:t xml:space="preserve"> עבור המשתתפים</w:t>
      </w:r>
      <w:r w:rsidRPr="00FD38D4">
        <w:rPr>
          <w:rFonts w:ascii="Alef" w:hAnsi="Alef" w:cs="Alef"/>
          <w:rtl/>
        </w:rPr>
        <w:t xml:space="preserve">, עד כמה </w:t>
      </w:r>
      <w:r>
        <w:rPr>
          <w:rFonts w:ascii="Alef" w:hAnsi="Alef" w:cs="Alef" w:hint="cs"/>
          <w:rtl/>
        </w:rPr>
        <w:t>מדובר במכרז</w:t>
      </w:r>
      <w:r w:rsidRPr="00FD38D4">
        <w:rPr>
          <w:rFonts w:ascii="Alef" w:hAnsi="Alef" w:cs="Alef"/>
          <w:rtl/>
        </w:rPr>
        <w:t xml:space="preserve"> חד פעמי או שמדובר באירועי מכרזים החוזרים על </w:t>
      </w:r>
      <w:r w:rsidRPr="00FD38D4">
        <w:rPr>
          <w:rFonts w:ascii="Alef" w:hAnsi="Alef" w:cs="Alef"/>
          <w:rtl/>
        </w:rPr>
        <w:lastRenderedPageBreak/>
        <w:t>עצמם</w:t>
      </w:r>
      <w:r>
        <w:rPr>
          <w:rFonts w:ascii="Alef" w:hAnsi="Alef" w:cs="Alef" w:hint="cs"/>
          <w:rtl/>
        </w:rPr>
        <w:t xml:space="preserve">, </w:t>
      </w:r>
      <w:r w:rsidRPr="00FD38D4">
        <w:rPr>
          <w:rFonts w:ascii="Alef" w:hAnsi="Alef" w:cs="Alef"/>
          <w:rtl/>
        </w:rPr>
        <w:t xml:space="preserve">מנגנון </w:t>
      </w:r>
      <w:r>
        <w:rPr>
          <w:rFonts w:ascii="Alef" w:hAnsi="Alef" w:cs="Alef" w:hint="cs"/>
          <w:rtl/>
        </w:rPr>
        <w:t>המכרז, מבנה העלויות של המתחרים במכרז והמידע שיש לכל מתחרה אודות העלויות של המתחרים האחרים</w:t>
      </w:r>
      <w:r w:rsidRPr="00FD38D4">
        <w:rPr>
          <w:rFonts w:ascii="Alef" w:hAnsi="Alef" w:cs="Alef"/>
          <w:rtl/>
        </w:rPr>
        <w:t>. ככלל, ניתן לומר שככל שיש יותר מתחרים במכרז הסיכוי של עורך המכרז לקבל הצעות תחרותיות יותר ומיטיבות יותר גדל ולפיכך כל חבירה בין מתחרים פוטנציאלים יש בה מידה של פגיעה בתחרות. עם זאת ברי כי אין הרי הפחתה של מספר המתחרים מ</w:t>
      </w:r>
      <w:r>
        <w:rPr>
          <w:rFonts w:ascii="Alef" w:hAnsi="Alef" w:cs="Alef" w:hint="cs"/>
          <w:rtl/>
        </w:rPr>
        <w:t xml:space="preserve">- 5 </w:t>
      </w:r>
      <w:r w:rsidRPr="00FD38D4">
        <w:rPr>
          <w:rFonts w:ascii="Alef" w:hAnsi="Alef" w:cs="Alef"/>
          <w:rtl/>
        </w:rPr>
        <w:t xml:space="preserve">מתחרים ל- 4 מתחרים כהרי הפחתה של מספר המתחרים במכרז מ- 20 מתחרים ל- 19 מתחרים. </w:t>
      </w:r>
    </w:p>
    <w:p w:rsidR="003B55CE" w:rsidRPr="00FD38D4" w:rsidRDefault="003B55CE" w:rsidP="003B55CE">
      <w:pPr>
        <w:pStyle w:val="ListParagraph"/>
        <w:ind w:left="360"/>
        <w:jc w:val="both"/>
        <w:rPr>
          <w:rFonts w:ascii="Alef" w:hAnsi="Alef" w:cs="Alef"/>
          <w:rtl/>
        </w:rPr>
      </w:pPr>
    </w:p>
    <w:p w:rsidR="003B55CE" w:rsidRDefault="003B55CE" w:rsidP="003B55CE">
      <w:pPr>
        <w:pStyle w:val="ListParagraph"/>
        <w:ind w:left="360"/>
        <w:jc w:val="both"/>
        <w:rPr>
          <w:rFonts w:ascii="Alef" w:hAnsi="Alef" w:cs="Alef"/>
          <w:rtl/>
        </w:rPr>
      </w:pPr>
      <w:r w:rsidRPr="00373B11">
        <w:rPr>
          <w:rFonts w:ascii="Alef" w:hAnsi="Alef" w:cs="Alef"/>
          <w:rtl/>
        </w:rPr>
        <w:t xml:space="preserve">ישנם מקרים </w:t>
      </w:r>
      <w:r>
        <w:rPr>
          <w:rFonts w:ascii="Alef" w:hAnsi="Alef" w:cs="Alef" w:hint="cs"/>
          <w:rtl/>
        </w:rPr>
        <w:t xml:space="preserve">מעטים </w:t>
      </w:r>
      <w:r w:rsidRPr="00373B11">
        <w:rPr>
          <w:rFonts w:ascii="Alef" w:hAnsi="Alef" w:cs="Alef"/>
          <w:rtl/>
        </w:rPr>
        <w:t xml:space="preserve">שבהם ניתן להסתפק במספר מצומצם ביותר של מתחרים במכרז ובמקרים קיצוניים ביותר ניתן אף להסתפק בשני מתחרים </w:t>
      </w:r>
      <w:r>
        <w:rPr>
          <w:rFonts w:ascii="Alef" w:hAnsi="Alef" w:cs="Alef" w:hint="cs"/>
          <w:rtl/>
        </w:rPr>
        <w:t xml:space="preserve">כדי להגיע לתחרות משוכללת במכרז. </w:t>
      </w:r>
      <w:r w:rsidRPr="00BF5BCF">
        <w:rPr>
          <w:rFonts w:ascii="Alef" w:hAnsi="Alef" w:cs="Alef"/>
          <w:rtl/>
        </w:rPr>
        <w:t xml:space="preserve">התנאי המרכזי הנדרש </w:t>
      </w:r>
      <w:r>
        <w:rPr>
          <w:rFonts w:ascii="Alef" w:hAnsi="Alef" w:cs="Alef" w:hint="cs"/>
          <w:rtl/>
        </w:rPr>
        <w:t>על מנת שעדיין תתקיים</w:t>
      </w:r>
      <w:r w:rsidRPr="00BF5BCF">
        <w:rPr>
          <w:rFonts w:ascii="Alef" w:hAnsi="Alef" w:cs="Alef"/>
          <w:rtl/>
        </w:rPr>
        <w:t xml:space="preserve"> תחרות משוכללת במכרז</w:t>
      </w:r>
      <w:r>
        <w:rPr>
          <w:rFonts w:ascii="Alef" w:hAnsi="Alef" w:cs="Alef" w:hint="cs"/>
          <w:rtl/>
        </w:rPr>
        <w:t xml:space="preserve"> עם שני מתחרים בלבד </w:t>
      </w:r>
      <w:r w:rsidRPr="00BF5BCF">
        <w:rPr>
          <w:rFonts w:ascii="Alef" w:hAnsi="Alef" w:cs="Alef"/>
          <w:rtl/>
        </w:rPr>
        <w:t xml:space="preserve">הוא </w:t>
      </w:r>
      <w:r>
        <w:rPr>
          <w:rFonts w:ascii="Alef" w:hAnsi="Alef" w:cs="Alef" w:hint="cs"/>
          <w:rtl/>
        </w:rPr>
        <w:t xml:space="preserve">כי תהיה </w:t>
      </w:r>
      <w:r w:rsidRPr="00BF5BCF">
        <w:rPr>
          <w:rFonts w:ascii="Alef" w:hAnsi="Alef" w:cs="Alef"/>
          <w:rtl/>
        </w:rPr>
        <w:t>זהות בין העלויות השוליות של שני המתחרים</w:t>
      </w:r>
      <w:r>
        <w:rPr>
          <w:rFonts w:ascii="Alef" w:hAnsi="Alef" w:cs="Alef" w:hint="cs"/>
          <w:rtl/>
        </w:rPr>
        <w:t xml:space="preserve"> ושכל מתחרה יהיה מודע לעלויות השוליות של המתחרה השני</w:t>
      </w:r>
      <w:r>
        <w:rPr>
          <w:rFonts w:ascii="Alef" w:hAnsi="Alef" w:cs="Alef"/>
          <w:rtl/>
        </w:rPr>
        <w:t>.</w:t>
      </w:r>
      <w:r w:rsidRPr="00373B11">
        <w:rPr>
          <w:rStyle w:val="FootnoteReference"/>
          <w:rFonts w:ascii="Alef" w:hAnsi="Alef" w:cs="Alef"/>
          <w:rtl/>
        </w:rPr>
        <w:footnoteReference w:id="15"/>
      </w:r>
      <w:r w:rsidRPr="00373B11">
        <w:rPr>
          <w:rFonts w:ascii="Alef" w:hAnsi="Alef" w:cs="Alef"/>
          <w:rtl/>
        </w:rPr>
        <w:t xml:space="preserve"> </w:t>
      </w:r>
    </w:p>
    <w:p w:rsidR="003B55CE" w:rsidRDefault="003B55CE" w:rsidP="003B55CE">
      <w:pPr>
        <w:pStyle w:val="ListParagraph"/>
        <w:ind w:left="360"/>
        <w:jc w:val="both"/>
        <w:rPr>
          <w:rFonts w:ascii="Alef" w:hAnsi="Alef" w:cs="Alef"/>
          <w:rtl/>
        </w:rPr>
      </w:pPr>
    </w:p>
    <w:p w:rsidR="003B55CE" w:rsidRDefault="003B55CE" w:rsidP="00FC0014">
      <w:pPr>
        <w:pStyle w:val="ListParagraph"/>
        <w:ind w:left="360"/>
        <w:jc w:val="both"/>
        <w:rPr>
          <w:rFonts w:ascii="Alef" w:hAnsi="Alef" w:cs="Alef"/>
          <w:rtl/>
        </w:rPr>
      </w:pPr>
      <w:r>
        <w:rPr>
          <w:rFonts w:ascii="Alef" w:hAnsi="Alef" w:cs="Alef" w:hint="cs"/>
          <w:rtl/>
        </w:rPr>
        <w:lastRenderedPageBreak/>
        <w:t xml:space="preserve">גם במקרים בהם העלויות השוליות של המתחרים הן שונות, קיימים פרמטרים נוספים שישפיעו על מספר השחקנים הדרושים במכרז. ככלל, </w:t>
      </w:r>
      <w:r w:rsidRPr="00373B11">
        <w:rPr>
          <w:rFonts w:ascii="Alef" w:hAnsi="Alef" w:cs="Alef"/>
          <w:rtl/>
        </w:rPr>
        <w:t>ככל שהמכרז שבו מדובר הוא בעל משמעות רבה יותר עבור המתחרים בענף וככל שפרסום מכרז מסוג זה או שכמותו הוא אירוע נדיר יותר וחד פעמי</w:t>
      </w:r>
      <w:r>
        <w:rPr>
          <w:rFonts w:ascii="Alef" w:hAnsi="Alef" w:cs="Alef" w:hint="cs"/>
          <w:rtl/>
        </w:rPr>
        <w:t xml:space="preserve"> יותר</w:t>
      </w:r>
      <w:r w:rsidRPr="00373B11">
        <w:rPr>
          <w:rFonts w:ascii="Alef" w:hAnsi="Alef" w:cs="Alef"/>
          <w:rtl/>
        </w:rPr>
        <w:t>, כך ניתן יהיה להסתפק בפחות מתחרים במכרז.</w:t>
      </w:r>
      <w:r>
        <w:rPr>
          <w:rStyle w:val="FootnoteReference"/>
          <w:rFonts w:ascii="Alef" w:hAnsi="Alef" w:cs="Alef"/>
          <w:rtl/>
        </w:rPr>
        <w:footnoteReference w:id="16"/>
      </w:r>
      <w:r>
        <w:rPr>
          <w:rFonts w:ascii="Alef" w:hAnsi="Alef" w:cs="Alef" w:hint="cs"/>
          <w:rtl/>
        </w:rPr>
        <w:t xml:space="preserve"> </w:t>
      </w:r>
      <w:r>
        <w:rPr>
          <w:rFonts w:ascii="Alef" w:hAnsi="Alef" w:cs="Alef"/>
          <w:rtl/>
        </w:rPr>
        <w:t>ראוי לציין כי</w:t>
      </w:r>
      <w:r>
        <w:rPr>
          <w:rFonts w:ascii="Alef" w:hAnsi="Alef" w:cs="Alef" w:hint="cs"/>
          <w:rtl/>
        </w:rPr>
        <w:t xml:space="preserve"> המקרים</w:t>
      </w:r>
      <w:r w:rsidRPr="00FE711A">
        <w:rPr>
          <w:rFonts w:ascii="Alef" w:hAnsi="Alef" w:cs="Alef"/>
          <w:rtl/>
        </w:rPr>
        <w:t xml:space="preserve"> </w:t>
      </w:r>
      <w:r>
        <w:rPr>
          <w:rFonts w:ascii="Alef" w:hAnsi="Alef" w:cs="Alef" w:hint="cs"/>
          <w:rtl/>
        </w:rPr>
        <w:t xml:space="preserve">שבהם </w:t>
      </w:r>
      <w:r w:rsidRPr="00FE711A">
        <w:rPr>
          <w:rFonts w:ascii="Alef" w:hAnsi="Alef" w:cs="Alef"/>
          <w:rtl/>
        </w:rPr>
        <w:t xml:space="preserve">ההזדמנות </w:t>
      </w:r>
      <w:r w:rsidRPr="00FE711A">
        <w:rPr>
          <w:rFonts w:ascii="Alef" w:hAnsi="Alef" w:cs="Alef" w:hint="cs"/>
          <w:rtl/>
        </w:rPr>
        <w:t>לספק</w:t>
      </w:r>
      <w:r w:rsidRPr="00FE711A">
        <w:rPr>
          <w:rFonts w:ascii="Alef" w:hAnsi="Alef" w:cs="Alef"/>
          <w:rtl/>
        </w:rPr>
        <w:t xml:space="preserve"> </w:t>
      </w:r>
      <w:r>
        <w:rPr>
          <w:rFonts w:ascii="Alef" w:hAnsi="Alef" w:cs="Alef" w:hint="cs"/>
          <w:rtl/>
        </w:rPr>
        <w:t>את מושא המכרז</w:t>
      </w:r>
      <w:r w:rsidRPr="00FE711A">
        <w:rPr>
          <w:rFonts w:ascii="Alef" w:hAnsi="Alef" w:cs="Alef"/>
          <w:rtl/>
        </w:rPr>
        <w:t xml:space="preserve"> או </w:t>
      </w:r>
      <w:r w:rsidRPr="00FE711A">
        <w:rPr>
          <w:rFonts w:ascii="Alef" w:hAnsi="Alef" w:cs="Alef" w:hint="cs"/>
          <w:rtl/>
        </w:rPr>
        <w:t>ליטול חלק</w:t>
      </w:r>
      <w:r>
        <w:rPr>
          <w:rFonts w:ascii="Alef" w:hAnsi="Alef" w:cs="Alef" w:hint="cs"/>
          <w:rtl/>
        </w:rPr>
        <w:t xml:space="preserve"> במכרז</w:t>
      </w:r>
      <w:r w:rsidRPr="00FE711A">
        <w:rPr>
          <w:rFonts w:ascii="Alef" w:hAnsi="Alef" w:cs="Alef" w:hint="cs"/>
          <w:rtl/>
        </w:rPr>
        <w:t xml:space="preserve"> </w:t>
      </w:r>
      <w:r w:rsidRPr="00FE711A">
        <w:rPr>
          <w:rFonts w:ascii="Alef" w:hAnsi="Alef" w:cs="Alef"/>
          <w:rtl/>
        </w:rPr>
        <w:t>היא חד פעמית ולא תשוב על עצמה</w:t>
      </w:r>
      <w:r>
        <w:rPr>
          <w:rFonts w:ascii="Alef" w:hAnsi="Alef" w:cs="Alef" w:hint="cs"/>
          <w:rtl/>
        </w:rPr>
        <w:t xml:space="preserve"> הם נדירים ביותר</w:t>
      </w:r>
      <w:r w:rsidRPr="00FE711A">
        <w:rPr>
          <w:rFonts w:ascii="Alef" w:hAnsi="Alef" w:cs="Alef"/>
          <w:rtl/>
        </w:rPr>
        <w:t xml:space="preserve">. רב המכרזים </w:t>
      </w:r>
      <w:r w:rsidRPr="00FE711A">
        <w:rPr>
          <w:rFonts w:ascii="Alef" w:hAnsi="Alef" w:cs="Alef" w:hint="cs"/>
          <w:rtl/>
        </w:rPr>
        <w:t>אינם כאלה, אלא</w:t>
      </w:r>
      <w:r w:rsidRPr="00FE711A">
        <w:rPr>
          <w:rFonts w:ascii="Alef" w:hAnsi="Alef" w:cs="Alef"/>
          <w:rtl/>
        </w:rPr>
        <w:t xml:space="preserve"> מכרזים שכמותם מתפרסמים מעת לעת. כך למשל, הקמת כבישים</w:t>
      </w:r>
      <w:r w:rsidRPr="00FE711A">
        <w:rPr>
          <w:rFonts w:ascii="Alef" w:hAnsi="Alef" w:cs="Alef" w:hint="cs"/>
          <w:rtl/>
        </w:rPr>
        <w:t xml:space="preserve"> אינה אירוע חד פעמי</w:t>
      </w:r>
      <w:r>
        <w:rPr>
          <w:rFonts w:ascii="Alef" w:hAnsi="Alef" w:cs="Alef" w:hint="cs"/>
          <w:rtl/>
        </w:rPr>
        <w:t xml:space="preserve">, </w:t>
      </w:r>
      <w:r w:rsidRPr="00FE711A">
        <w:rPr>
          <w:rFonts w:ascii="Alef" w:hAnsi="Alef" w:cs="Alef"/>
          <w:rtl/>
        </w:rPr>
        <w:t xml:space="preserve">הקמת מתקני התפלה, הקמת רכבות מסוגים שונים, הקצאת רציפים, הקמת בסיסי צה"ל, הקמת מבני ציבור גדולים, כל אלה מכרזים אשר כמותם מתפרסמים מעת לעת בתדירות משתנה. </w:t>
      </w:r>
      <w:r>
        <w:rPr>
          <w:rFonts w:ascii="Alef" w:hAnsi="Alef" w:cs="Alef" w:hint="cs"/>
          <w:rtl/>
        </w:rPr>
        <w:t>כאשר</w:t>
      </w:r>
      <w:r>
        <w:rPr>
          <w:rFonts w:ascii="Alef" w:hAnsi="Alef" w:cs="Alef"/>
          <w:rtl/>
        </w:rPr>
        <w:t xml:space="preserve"> </w:t>
      </w:r>
      <w:r w:rsidRPr="00FE711A">
        <w:rPr>
          <w:rFonts w:ascii="Alef" w:hAnsi="Alef" w:cs="Alef"/>
          <w:rtl/>
        </w:rPr>
        <w:t xml:space="preserve">המתחרים הפוטנציאלים במכרז </w:t>
      </w:r>
      <w:r w:rsidRPr="00FE711A">
        <w:rPr>
          <w:rFonts w:ascii="Alef" w:hAnsi="Alef" w:cs="Alef"/>
          <w:rtl/>
        </w:rPr>
        <w:lastRenderedPageBreak/>
        <w:t xml:space="preserve">מבינים כי הם משתתפים ב"משחק חוזר" ודפוסי ההתנהלות שלהם במכרז אחד משפיעים על האופן שבו תתנהל התחרות במכרז אחר, </w:t>
      </w:r>
      <w:r>
        <w:rPr>
          <w:rFonts w:ascii="Alef" w:hAnsi="Alef" w:cs="Alef" w:hint="cs"/>
          <w:rtl/>
        </w:rPr>
        <w:t>יידרש מספר רב יותר</w:t>
      </w:r>
      <w:r w:rsidRPr="00FE711A">
        <w:rPr>
          <w:rFonts w:ascii="Alef" w:hAnsi="Alef" w:cs="Alef"/>
          <w:rtl/>
        </w:rPr>
        <w:t xml:space="preserve"> של מתחרים במכרז </w:t>
      </w:r>
      <w:r>
        <w:rPr>
          <w:rFonts w:ascii="Alef" w:hAnsi="Alef" w:cs="Alef" w:hint="cs"/>
          <w:rtl/>
        </w:rPr>
        <w:t>על מנת להפוך אותו</w:t>
      </w:r>
      <w:r w:rsidRPr="00FE711A">
        <w:rPr>
          <w:rFonts w:ascii="Alef" w:hAnsi="Alef" w:cs="Alef"/>
          <w:rtl/>
        </w:rPr>
        <w:t xml:space="preserve"> לתחרותי יותר ואת תוצאותיו למוצלחות יותר עבור עורך המכרז. </w:t>
      </w:r>
    </w:p>
    <w:p w:rsidR="00FC0014" w:rsidRPr="00FC0014" w:rsidRDefault="00FC0014" w:rsidP="00FC0014">
      <w:pPr>
        <w:pStyle w:val="ListParagraph"/>
        <w:ind w:left="360"/>
        <w:jc w:val="both"/>
        <w:rPr>
          <w:rFonts w:ascii="Alef" w:hAnsi="Alef" w:cs="Alef"/>
          <w:rtl/>
        </w:rPr>
      </w:pPr>
    </w:p>
    <w:p w:rsidR="003B55CE" w:rsidRPr="00FC0014" w:rsidRDefault="003B55CE" w:rsidP="00FC0014">
      <w:pPr>
        <w:pStyle w:val="ListParagraph"/>
        <w:numPr>
          <w:ilvl w:val="0"/>
          <w:numId w:val="11"/>
        </w:numPr>
        <w:spacing w:after="160" w:line="259" w:lineRule="auto"/>
        <w:rPr>
          <w:rFonts w:ascii="Alef" w:hAnsi="Alef" w:cs="Alef"/>
          <w:u w:val="single"/>
        </w:rPr>
      </w:pPr>
      <w:r>
        <w:rPr>
          <w:rFonts w:ascii="Alef" w:hAnsi="Alef" w:cs="Alef" w:hint="cs"/>
          <w:u w:val="single"/>
          <w:rtl/>
        </w:rPr>
        <w:t>משקלם של המתחרים</w:t>
      </w:r>
    </w:p>
    <w:p w:rsidR="003B55CE" w:rsidRDefault="003B55CE" w:rsidP="003B55CE">
      <w:pPr>
        <w:pStyle w:val="ListParagraph"/>
        <w:ind w:left="360"/>
        <w:jc w:val="both"/>
        <w:rPr>
          <w:rFonts w:ascii="Alef" w:hAnsi="Alef" w:cs="Alef"/>
          <w:rtl/>
        </w:rPr>
      </w:pPr>
      <w:r>
        <w:rPr>
          <w:rFonts w:ascii="Alef" w:hAnsi="Alef" w:cs="Alef" w:hint="cs"/>
          <w:rtl/>
        </w:rPr>
        <w:t xml:space="preserve">בבואנו לערוך את הבחינה באשר להשפעה התחרותית המהותית של חבירה בין גורמים מתחרים יש לבחון מהו המשקל הנכון שיש לתת לכל מתחרה במכרז. </w:t>
      </w:r>
    </w:p>
    <w:p w:rsidR="003B55CE" w:rsidRDefault="003B55CE" w:rsidP="003B55CE">
      <w:pPr>
        <w:pStyle w:val="ListParagraph"/>
        <w:ind w:left="360"/>
        <w:jc w:val="both"/>
        <w:rPr>
          <w:rFonts w:ascii="Alef" w:hAnsi="Alef" w:cs="Alef"/>
          <w:rtl/>
        </w:rPr>
      </w:pPr>
    </w:p>
    <w:p w:rsidR="003B55CE" w:rsidRPr="008E23E0" w:rsidRDefault="003B55CE" w:rsidP="003B55CE">
      <w:pPr>
        <w:pStyle w:val="ListParagraph"/>
        <w:ind w:left="360"/>
        <w:jc w:val="both"/>
        <w:rPr>
          <w:rFonts w:ascii="Alef" w:hAnsi="Alef" w:cs="Alef"/>
          <w:rtl/>
        </w:rPr>
      </w:pPr>
      <w:r w:rsidRPr="008E23E0">
        <w:rPr>
          <w:rFonts w:ascii="Alef" w:hAnsi="Alef" w:cs="Alef" w:hint="eastAsia"/>
          <w:rtl/>
        </w:rPr>
        <w:t>המציאות</w:t>
      </w:r>
      <w:r w:rsidRPr="008E23E0">
        <w:rPr>
          <w:rFonts w:ascii="Alef" w:hAnsi="Alef" w:cs="Alef"/>
          <w:rtl/>
        </w:rPr>
        <w:t xml:space="preserve"> </w:t>
      </w:r>
      <w:r w:rsidRPr="008E23E0">
        <w:rPr>
          <w:rFonts w:ascii="Alef" w:hAnsi="Alef" w:cs="Alef" w:hint="eastAsia"/>
          <w:rtl/>
        </w:rPr>
        <w:t>מלמדת</w:t>
      </w:r>
      <w:r w:rsidRPr="008E23E0">
        <w:rPr>
          <w:rFonts w:ascii="Alef" w:hAnsi="Alef" w:cs="Alef"/>
          <w:rtl/>
        </w:rPr>
        <w:t xml:space="preserve"> </w:t>
      </w:r>
      <w:r w:rsidRPr="008E23E0">
        <w:rPr>
          <w:rFonts w:ascii="Alef" w:hAnsi="Alef" w:cs="Alef" w:hint="eastAsia"/>
          <w:rtl/>
        </w:rPr>
        <w:t>שקיימת</w:t>
      </w:r>
      <w:r w:rsidRPr="008E23E0">
        <w:rPr>
          <w:rFonts w:ascii="Alef" w:hAnsi="Alef" w:cs="Alef"/>
          <w:rtl/>
        </w:rPr>
        <w:t xml:space="preserve"> שונות רבה </w:t>
      </w:r>
      <w:r w:rsidRPr="008E23E0">
        <w:rPr>
          <w:rFonts w:ascii="Alef" w:hAnsi="Alef" w:cs="Alef" w:hint="eastAsia"/>
          <w:rtl/>
        </w:rPr>
        <w:t>בכושר</w:t>
      </w:r>
      <w:r w:rsidRPr="008E23E0">
        <w:rPr>
          <w:rFonts w:ascii="Alef" w:hAnsi="Alef" w:cs="Alef"/>
          <w:rtl/>
        </w:rPr>
        <w:t xml:space="preserve"> התחרותי של המתחרים השונים אשר משליכה באופן ישיר על הניתוח התחרותי. </w:t>
      </w:r>
      <w:r w:rsidRPr="008E23E0">
        <w:rPr>
          <w:rFonts w:ascii="Alef" w:hAnsi="Alef" w:cs="Alef" w:hint="eastAsia"/>
          <w:rtl/>
        </w:rPr>
        <w:t>כך</w:t>
      </w:r>
      <w:r w:rsidRPr="008E23E0">
        <w:rPr>
          <w:rFonts w:ascii="Alef" w:hAnsi="Alef" w:cs="Alef"/>
          <w:rtl/>
        </w:rPr>
        <w:t xml:space="preserve"> למשל במכרז להקמת בסיס צבאי יתכן שדרישות הסף הן עמידה בדרישות פיננסיות מסוימות ורישום מתאים במרשם הקבלנים. על פי דרישות הסף בלבד יתכן שקיימים עשרות של קבלנים אשר מסוגלים לגשת למכרז ונראה שמספר המתחרים הפוטנציאלים אינו מלמד על קושי תחרותי. אלא שבפועל, הסתכלות על מכרזי עבר בעלי אופי דומה </w:t>
      </w:r>
      <w:r w:rsidRPr="008E23E0">
        <w:rPr>
          <w:rFonts w:ascii="Alef" w:hAnsi="Alef" w:cs="Alef" w:hint="eastAsia"/>
          <w:rtl/>
        </w:rPr>
        <w:t>שפרסם</w:t>
      </w:r>
      <w:r w:rsidRPr="008E23E0">
        <w:rPr>
          <w:rFonts w:ascii="Alef" w:hAnsi="Alef" w:cs="Alef"/>
          <w:rtl/>
        </w:rPr>
        <w:t xml:space="preserve"> משרד הביטחון מלמד</w:t>
      </w:r>
      <w:r>
        <w:rPr>
          <w:rFonts w:ascii="Alef" w:hAnsi="Alef" w:cs="Alef" w:hint="cs"/>
          <w:rtl/>
        </w:rPr>
        <w:t>ת</w:t>
      </w:r>
      <w:r w:rsidRPr="008E23E0">
        <w:rPr>
          <w:rFonts w:ascii="Alef" w:hAnsi="Alef" w:cs="Alef"/>
          <w:rtl/>
        </w:rPr>
        <w:t xml:space="preserve"> אותנו שרק מספר מצומצם של גורמים </w:t>
      </w:r>
      <w:r w:rsidRPr="008E23E0">
        <w:rPr>
          <w:rFonts w:ascii="Alef" w:hAnsi="Alef" w:cs="Alef"/>
          <w:rtl/>
        </w:rPr>
        <w:lastRenderedPageBreak/>
        <w:t>ניגשים למכרזים אלה. בפועל, נראה ששש חברות בנייה קבלניות ניגשות למכרזים של הקמת בסיסי צבא גדולים והן חוזרות על עצמן בהרכב מלא או חלקי בכל מכרזי העבר הדומים של משרד הביטחון. במצב כזה</w:t>
      </w:r>
      <w:r>
        <w:rPr>
          <w:rFonts w:ascii="Alef" w:hAnsi="Alef" w:cs="Alef" w:hint="cs"/>
          <w:rtl/>
        </w:rPr>
        <w:t>, ככלל,</w:t>
      </w:r>
      <w:r w:rsidRPr="008E23E0">
        <w:rPr>
          <w:rFonts w:ascii="Alef" w:hAnsi="Alef" w:cs="Alef"/>
          <w:rtl/>
        </w:rPr>
        <w:t xml:space="preserve"> </w:t>
      </w:r>
      <w:r w:rsidRPr="008E23E0">
        <w:rPr>
          <w:rFonts w:ascii="Alef" w:hAnsi="Alef" w:cs="Alef" w:hint="eastAsia"/>
          <w:rtl/>
        </w:rPr>
        <w:t>תתייחס</w:t>
      </w:r>
      <w:r w:rsidRPr="008E23E0">
        <w:rPr>
          <w:rFonts w:ascii="Alef" w:hAnsi="Alef" w:cs="Alef"/>
          <w:rtl/>
        </w:rPr>
        <w:t xml:space="preserve"> </w:t>
      </w:r>
      <w:r w:rsidRPr="008E23E0">
        <w:rPr>
          <w:rFonts w:ascii="Alef" w:hAnsi="Alef" w:cs="Alef" w:hint="eastAsia"/>
          <w:rtl/>
        </w:rPr>
        <w:t>הממונה</w:t>
      </w:r>
      <w:r w:rsidRPr="008E23E0">
        <w:rPr>
          <w:rFonts w:ascii="Alef" w:hAnsi="Alef" w:cs="Alef"/>
          <w:rtl/>
        </w:rPr>
        <w:t xml:space="preserve"> אל המתמודדים שניסיון העבר מלמד שניגשו למכרזים ושמכרזים מהסוג הזה </w:t>
      </w:r>
      <w:r>
        <w:rPr>
          <w:rFonts w:ascii="Alef" w:hAnsi="Alef" w:cs="Alef" w:hint="cs"/>
          <w:rtl/>
        </w:rPr>
        <w:t>הם</w:t>
      </w:r>
      <w:r w:rsidRPr="008E23E0">
        <w:rPr>
          <w:rFonts w:ascii="Alef" w:hAnsi="Alef" w:cs="Alef"/>
          <w:rtl/>
        </w:rPr>
        <w:t xml:space="preserve"> חלק מפעילותם השוטפת כ</w:t>
      </w:r>
      <w:r w:rsidRPr="008E23E0">
        <w:rPr>
          <w:rFonts w:ascii="Alef" w:hAnsi="Alef" w:cs="Alef" w:hint="eastAsia"/>
          <w:rtl/>
        </w:rPr>
        <w:t>משתתפים</w:t>
      </w:r>
      <w:r w:rsidRPr="008E23E0">
        <w:rPr>
          <w:rFonts w:ascii="Alef" w:hAnsi="Alef" w:cs="Alef"/>
          <w:rtl/>
        </w:rPr>
        <w:t xml:space="preserve"> </w:t>
      </w:r>
      <w:r w:rsidRPr="008E23E0">
        <w:rPr>
          <w:rFonts w:ascii="Alef" w:hAnsi="Alef" w:cs="Alef" w:hint="eastAsia"/>
          <w:rtl/>
        </w:rPr>
        <w:t>בעלי</w:t>
      </w:r>
      <w:r w:rsidRPr="008E23E0">
        <w:rPr>
          <w:rFonts w:ascii="Alef" w:hAnsi="Alef" w:cs="Alef"/>
          <w:rtl/>
        </w:rPr>
        <w:t xml:space="preserve"> </w:t>
      </w:r>
      <w:r w:rsidRPr="008E23E0">
        <w:rPr>
          <w:rFonts w:ascii="Alef" w:hAnsi="Alef" w:cs="Alef" w:hint="eastAsia"/>
          <w:rtl/>
        </w:rPr>
        <w:t>משקל</w:t>
      </w:r>
      <w:r w:rsidRPr="008E23E0">
        <w:rPr>
          <w:rFonts w:ascii="Alef" w:hAnsi="Alef" w:cs="Alef"/>
          <w:rtl/>
        </w:rPr>
        <w:t xml:space="preserve"> </w:t>
      </w:r>
      <w:r w:rsidRPr="008E23E0">
        <w:rPr>
          <w:rFonts w:ascii="Alef" w:hAnsi="Alef" w:cs="Alef" w:hint="eastAsia"/>
          <w:rtl/>
        </w:rPr>
        <w:t>רב</w:t>
      </w:r>
      <w:r w:rsidRPr="008E23E0">
        <w:rPr>
          <w:rFonts w:ascii="Alef" w:hAnsi="Alef" w:cs="Alef"/>
          <w:rtl/>
        </w:rPr>
        <w:t xml:space="preserve"> </w:t>
      </w:r>
      <w:r w:rsidRPr="008E23E0">
        <w:rPr>
          <w:rFonts w:ascii="Alef" w:hAnsi="Alef" w:cs="Alef" w:hint="eastAsia"/>
          <w:rtl/>
        </w:rPr>
        <w:t>בניתוח</w:t>
      </w:r>
      <w:r w:rsidRPr="008E23E0">
        <w:rPr>
          <w:rFonts w:ascii="Alef" w:hAnsi="Alef" w:cs="Alef"/>
          <w:rtl/>
        </w:rPr>
        <w:t xml:space="preserve"> </w:t>
      </w:r>
      <w:r w:rsidRPr="008E23E0">
        <w:rPr>
          <w:rFonts w:ascii="Alef" w:hAnsi="Alef" w:cs="Alef" w:hint="eastAsia"/>
          <w:rtl/>
        </w:rPr>
        <w:t>התחרותי</w:t>
      </w:r>
      <w:r w:rsidRPr="008E23E0">
        <w:rPr>
          <w:rFonts w:ascii="Alef" w:hAnsi="Alef" w:cs="Alef"/>
          <w:rtl/>
        </w:rPr>
        <w:t xml:space="preserve">. </w:t>
      </w:r>
      <w:r w:rsidRPr="008E23E0">
        <w:rPr>
          <w:rFonts w:ascii="Alef" w:hAnsi="Alef" w:cs="Alef" w:hint="eastAsia"/>
          <w:rtl/>
        </w:rPr>
        <w:t>בהתאמה</w:t>
      </w:r>
      <w:r w:rsidRPr="008E23E0">
        <w:rPr>
          <w:rFonts w:ascii="Alef" w:hAnsi="Alef" w:cs="Alef"/>
          <w:rtl/>
        </w:rPr>
        <w:t>, שחקנים שעומדים בדרישות הסף אך ניסיון העבר מלמד שאינם נוטים להגיש מועמדות למכרזים דומים יקבלו</w:t>
      </w:r>
      <w:r>
        <w:rPr>
          <w:rFonts w:ascii="Alef" w:hAnsi="Alef" w:cs="Alef" w:hint="cs"/>
          <w:rtl/>
        </w:rPr>
        <w:t>, ככלל,</w:t>
      </w:r>
      <w:r w:rsidRPr="008E23E0">
        <w:rPr>
          <w:rFonts w:ascii="Alef" w:hAnsi="Alef" w:cs="Alef"/>
          <w:rtl/>
        </w:rPr>
        <w:t xml:space="preserve"> משקל נמוך </w:t>
      </w:r>
      <w:r>
        <w:rPr>
          <w:rFonts w:ascii="Alef" w:hAnsi="Alef" w:cs="Alef" w:hint="cs"/>
          <w:rtl/>
        </w:rPr>
        <w:t xml:space="preserve">מאוד </w:t>
      </w:r>
      <w:r w:rsidRPr="008E23E0">
        <w:rPr>
          <w:rFonts w:ascii="Alef" w:hAnsi="Alef" w:cs="Alef" w:hint="eastAsia"/>
          <w:rtl/>
        </w:rPr>
        <w:t>בשלב</w:t>
      </w:r>
      <w:r w:rsidRPr="008E23E0">
        <w:rPr>
          <w:rFonts w:ascii="Alef" w:hAnsi="Alef" w:cs="Alef"/>
          <w:rtl/>
        </w:rPr>
        <w:t xml:space="preserve"> </w:t>
      </w:r>
      <w:r w:rsidRPr="008E23E0">
        <w:rPr>
          <w:rFonts w:ascii="Alef" w:hAnsi="Alef" w:cs="Alef" w:hint="eastAsia"/>
          <w:rtl/>
        </w:rPr>
        <w:t>הניתוח</w:t>
      </w:r>
      <w:r w:rsidRPr="008E23E0">
        <w:rPr>
          <w:rFonts w:ascii="Alef" w:hAnsi="Alef" w:cs="Alef"/>
          <w:rtl/>
        </w:rPr>
        <w:t xml:space="preserve"> </w:t>
      </w:r>
      <w:r w:rsidRPr="008E23E0">
        <w:rPr>
          <w:rFonts w:ascii="Alef" w:hAnsi="Alef" w:cs="Alef" w:hint="eastAsia"/>
          <w:rtl/>
        </w:rPr>
        <w:t>התחרותי</w:t>
      </w:r>
      <w:r w:rsidRPr="008E23E0">
        <w:rPr>
          <w:rFonts w:ascii="Alef" w:hAnsi="Alef" w:cs="Alef"/>
          <w:rtl/>
        </w:rPr>
        <w:t xml:space="preserve">. </w:t>
      </w:r>
    </w:p>
    <w:p w:rsidR="003B55CE" w:rsidRPr="00BA2FF3" w:rsidRDefault="003B55CE" w:rsidP="003B55CE">
      <w:pPr>
        <w:pStyle w:val="ListParagraph"/>
        <w:ind w:left="360"/>
        <w:jc w:val="both"/>
        <w:rPr>
          <w:rFonts w:ascii="Alef" w:hAnsi="Alef" w:cs="Alef"/>
          <w:rtl/>
        </w:rPr>
      </w:pPr>
    </w:p>
    <w:p w:rsidR="003B55CE" w:rsidRDefault="003B55CE" w:rsidP="003B55CE">
      <w:pPr>
        <w:pStyle w:val="ListParagraph"/>
        <w:ind w:left="360"/>
        <w:jc w:val="both"/>
        <w:rPr>
          <w:rFonts w:ascii="Alef" w:hAnsi="Alef" w:cs="Alef"/>
          <w:rtl/>
        </w:rPr>
      </w:pPr>
      <w:r>
        <w:rPr>
          <w:rFonts w:ascii="Alef" w:hAnsi="Alef" w:cs="Alef" w:hint="cs"/>
          <w:rtl/>
        </w:rPr>
        <w:t xml:space="preserve">למצב זה יכולים להיות כמובן חריגים. כך למשל אם יש שחקן חדש שטרם ניגש למכרזי עבר דומים, אך הוא מגלה בצורה ברורה ומפורשת שבדעתו להתחרות במכרז למרות שלא עשה כן בעבר ובשל גודלו, ניסיונו בתחומים משיקים או בזירה הבינלאומית והיכולת המקצועית יש לו יכולת ברורה לזכות במכרז, מן הראוי לתת לו משקל משמעותי בשלב ניתוח התחרותי ובלבד שהוא עומד בדרישות הסף או שיש לו יכולת לעמוד בדרישות הסף במאמץ סביר. חריג נוסף עשוי להתקיים במצב שבו מדובר במתחרה בעל יתרון מובנה ביחס למכרז </w:t>
      </w:r>
      <w:r>
        <w:rPr>
          <w:rFonts w:ascii="Alef" w:hAnsi="Alef" w:cs="Alef" w:hint="cs"/>
          <w:rtl/>
        </w:rPr>
        <w:lastRenderedPageBreak/>
        <w:t xml:space="preserve">הספציפי. טול מקרה שבו מתקיים מכרז לעבודה קבלנית באזור גיאוגרפי שבו יש לקבלן מסוים עבודות רבות או מחצבים רבים </w:t>
      </w:r>
      <w:r>
        <w:rPr>
          <w:rFonts w:ascii="Alef" w:hAnsi="Alef" w:cs="Alef"/>
          <w:rtl/>
        </w:rPr>
        <w:t>–</w:t>
      </w:r>
      <w:r>
        <w:rPr>
          <w:rFonts w:ascii="Alef" w:hAnsi="Alef" w:cs="Alef" w:hint="cs"/>
          <w:rtl/>
        </w:rPr>
        <w:t xml:space="preserve"> ברי כי יש לתת לאותו קבלן משקל רב יותר ביחס למכרז הספציפי. </w:t>
      </w:r>
    </w:p>
    <w:p w:rsidR="003B55CE" w:rsidRDefault="003B55CE" w:rsidP="003B55CE">
      <w:pPr>
        <w:pStyle w:val="ListParagraph"/>
        <w:ind w:left="360"/>
        <w:jc w:val="both"/>
        <w:rPr>
          <w:rFonts w:ascii="Alef" w:hAnsi="Alef" w:cs="Alef"/>
          <w:rtl/>
        </w:rPr>
      </w:pPr>
    </w:p>
    <w:p w:rsidR="003B55CE" w:rsidRDefault="003B55CE" w:rsidP="003B55CE">
      <w:pPr>
        <w:pStyle w:val="ListParagraph"/>
        <w:ind w:left="360"/>
        <w:jc w:val="both"/>
        <w:rPr>
          <w:rFonts w:ascii="Alef" w:hAnsi="Alef" w:cs="Alef"/>
          <w:rtl/>
        </w:rPr>
      </w:pPr>
      <w:r>
        <w:rPr>
          <w:rFonts w:ascii="Alef" w:hAnsi="Alef" w:cs="Alef" w:hint="cs"/>
          <w:rtl/>
        </w:rPr>
        <w:t xml:space="preserve">ככלל, </w:t>
      </w:r>
      <w:r w:rsidRPr="004F72F7">
        <w:rPr>
          <w:rFonts w:ascii="Alef" w:hAnsi="Alef" w:cs="Alef"/>
          <w:rtl/>
        </w:rPr>
        <w:t xml:space="preserve">ככל שקיימים יותר מכרזי עבר דומים שניתן ללמוד מהם, כך יינתן </w:t>
      </w:r>
      <w:r>
        <w:rPr>
          <w:rFonts w:ascii="Alef" w:hAnsi="Alef" w:cs="Alef" w:hint="cs"/>
          <w:rtl/>
        </w:rPr>
        <w:t>להישגיהם של המתחרים</w:t>
      </w:r>
      <w:r w:rsidRPr="004F72F7">
        <w:rPr>
          <w:rFonts w:ascii="Alef" w:hAnsi="Alef" w:cs="Alef"/>
          <w:rtl/>
        </w:rPr>
        <w:t xml:space="preserve"> במכרזי</w:t>
      </w:r>
      <w:r>
        <w:rPr>
          <w:rFonts w:ascii="Alef" w:hAnsi="Alef" w:cs="Alef"/>
          <w:rtl/>
        </w:rPr>
        <w:t xml:space="preserve"> העבר משקל רב יותר בבחינת השאל</w:t>
      </w:r>
      <w:r>
        <w:rPr>
          <w:rFonts w:ascii="Alef" w:hAnsi="Alef" w:cs="Alef" w:hint="cs"/>
          <w:rtl/>
        </w:rPr>
        <w:t>ה מהו המשקל שיש לתת לכל אחד מהמתחרים בשלב הניתוח התחרותי.</w:t>
      </w:r>
      <w:r>
        <w:rPr>
          <w:rStyle w:val="FootnoteReference"/>
          <w:rFonts w:ascii="Alef" w:hAnsi="Alef" w:cs="Alef"/>
          <w:rtl/>
        </w:rPr>
        <w:footnoteReference w:id="17"/>
      </w:r>
      <w:r>
        <w:rPr>
          <w:rFonts w:ascii="Alef" w:hAnsi="Alef" w:cs="Alef" w:hint="cs"/>
          <w:rtl/>
        </w:rPr>
        <w:t xml:space="preserve"> לעניין זה בשקילת משקלם היחסי יש חשיבות ליכולתם המוכחת של מתחרים לזכות במכרזים, אך יש לתת את הדעת גם למתחרים אשר הצליחו למקם את עצמם במקום גבוה בתחרות במכרזי עבר אף אם לא זכו בה ממש. כך למשל מתחרה שלעיתים זוכה במכרזים ולעיתים מגיע לאחד המקומות הראשונים גם אם לא זכה, ייחשב מתחרה בעל משקל רב גם בשל זכיותיו וגם בשל </w:t>
      </w:r>
      <w:r>
        <w:rPr>
          <w:rFonts w:ascii="Alef" w:hAnsi="Alef" w:cs="Alef" w:hint="cs"/>
          <w:rtl/>
        </w:rPr>
        <w:lastRenderedPageBreak/>
        <w:t xml:space="preserve">המכרזים שבהם היה קרוב לזכייה, שכן אלה כמו אלה מלמדים על היכולת התחרותית שלו. ייתכנו מקרים שבהם לא קיימים מכרזי עבר שניתן ללמוד מהם על דפוסי הפעילות של הגורמים שעומדים בדרישות הסף או שקיימים מכרזים בודדים ביותר שקשה לקבל מהם אינדיקציה ברורה. ככלל, ככל שקיימים פחות מכרזי עבר שניתן ללמוד מהם, כך ניטה להעניק משקל שווה יותר לכל אחד מהמתחרים במכרז ולחשב את נתחי השוק של כל אחד מהם על פי חלקו היחסי מתוך כלל המתחרים במכרז. </w:t>
      </w:r>
    </w:p>
    <w:p w:rsidR="003B55CE" w:rsidRDefault="003B55CE" w:rsidP="003B55CE">
      <w:pPr>
        <w:pStyle w:val="ListParagraph"/>
        <w:ind w:left="360"/>
        <w:jc w:val="both"/>
        <w:rPr>
          <w:rFonts w:ascii="Alef" w:hAnsi="Alef" w:cs="Alef"/>
          <w:rtl/>
        </w:rPr>
      </w:pPr>
    </w:p>
    <w:p w:rsidR="003B55CE" w:rsidRPr="00FC0014" w:rsidRDefault="003B55CE" w:rsidP="00FC0014">
      <w:pPr>
        <w:pStyle w:val="ListParagraph"/>
        <w:ind w:left="360"/>
        <w:jc w:val="both"/>
        <w:rPr>
          <w:rFonts w:ascii="Alef" w:hAnsi="Alef" w:cs="Alef"/>
        </w:rPr>
      </w:pPr>
      <w:r>
        <w:rPr>
          <w:rFonts w:ascii="Alef" w:hAnsi="Alef" w:cs="Alef" w:hint="cs"/>
          <w:rtl/>
        </w:rPr>
        <w:t xml:space="preserve">ככל שמשקלם המצטבר של החוברים בחבירה הוא גדול יותר, כך פוטנציאל הפגיעה בתחרות כתוצאה מן החבירה הוא גדול יותר. כך לדוגמה, אם בסדרה של מכרזים להקמת מתקני התפלה זוכה מתחרה אחד בחלק ניכר מן המכרזים, הרי שהמשקל שיש לייחס לו במכרז ההתפלה התלוי ועומד הוא רב לאין שיעור ממתחרה אשר ניגש למכרזי עבר ולא זכה. ככלל, משקלו של מי שזכה בסדרה של מכרזי עבר רב יותר ממשקלו של מי שניגש לראשונה בישראל למכרז להקמת מתקן התפלה. במסגרת הניתוח על משקלם של השחקנים יש לתת את הדעת למשקל של שני הגורמים החוברים כאחד. חבירה בין גורם בעל </w:t>
      </w:r>
      <w:r>
        <w:rPr>
          <w:rFonts w:ascii="Alef" w:hAnsi="Alef" w:cs="Alef" w:hint="cs"/>
          <w:rtl/>
        </w:rPr>
        <w:lastRenderedPageBreak/>
        <w:t xml:space="preserve">משקל רב וניסיון עבר עשיר בזכייה או בהגעה לשלבים סופיים של מכרזים עם גורם שטרם פילס את דרכו לזכייה במכרז או שאף טרם ניגש למכרז יש בה פוטנציאל מצומצם יחסית של פגיעה בתחרות. לעומת זאת חבירה בין שני שחקנים אשר לשניהם היסטוריה משמעותית של זכיות במכרזים מסוג דומה תעורר, בהעדר נסיבות מיוחדות, חשש ניכר לתחרות. ברי שמתחרים אשר זכו בעבר במכרזים דומים ומסוגלים להציב איום תחרותי </w:t>
      </w:r>
      <w:proofErr w:type="spellStart"/>
      <w:r>
        <w:rPr>
          <w:rFonts w:ascii="Alef" w:hAnsi="Alef" w:cs="Alef" w:hint="cs"/>
          <w:rtl/>
        </w:rPr>
        <w:t>אמיתי</w:t>
      </w:r>
      <w:proofErr w:type="spellEnd"/>
      <w:r>
        <w:rPr>
          <w:rFonts w:ascii="Alef" w:hAnsi="Alef" w:cs="Alef" w:hint="cs"/>
          <w:rtl/>
        </w:rPr>
        <w:t xml:space="preserve"> זה לזה צפויים להפחית בצורה משמעותית את התחרות במכרז אם יחברו ביחד. </w:t>
      </w:r>
      <w:r w:rsidRPr="00B30EF2">
        <w:rPr>
          <w:rtl/>
        </w:rPr>
        <w:br/>
      </w:r>
    </w:p>
    <w:p w:rsidR="003B55CE" w:rsidRPr="00FC0014" w:rsidRDefault="003B55CE" w:rsidP="00FC0014">
      <w:pPr>
        <w:pStyle w:val="ListParagraph"/>
        <w:numPr>
          <w:ilvl w:val="0"/>
          <w:numId w:val="11"/>
        </w:numPr>
        <w:spacing w:after="160" w:line="259" w:lineRule="auto"/>
        <w:rPr>
          <w:rFonts w:ascii="Alef" w:hAnsi="Alef" w:cs="Alef"/>
          <w:u w:val="single"/>
        </w:rPr>
      </w:pPr>
      <w:r w:rsidRPr="007B3D51">
        <w:rPr>
          <w:rFonts w:ascii="Alef" w:hAnsi="Alef" w:cs="Alef" w:hint="cs"/>
          <w:u w:val="single"/>
          <w:rtl/>
        </w:rPr>
        <w:t xml:space="preserve">מידת </w:t>
      </w:r>
      <w:proofErr w:type="spellStart"/>
      <w:r w:rsidRPr="007B3D51">
        <w:rPr>
          <w:rFonts w:ascii="Alef" w:hAnsi="Alef" w:cs="Alef" w:hint="cs"/>
          <w:u w:val="single"/>
          <w:rtl/>
        </w:rPr>
        <w:t>הקירבה</w:t>
      </w:r>
      <w:proofErr w:type="spellEnd"/>
      <w:r w:rsidRPr="007B3D51">
        <w:rPr>
          <w:rFonts w:ascii="Alef" w:hAnsi="Alef" w:cs="Alef" w:hint="cs"/>
          <w:u w:val="single"/>
          <w:rtl/>
        </w:rPr>
        <w:t xml:space="preserve"> בין המתחרים</w:t>
      </w:r>
    </w:p>
    <w:p w:rsidR="003B55CE" w:rsidRDefault="003B55CE" w:rsidP="003B55CE">
      <w:pPr>
        <w:pStyle w:val="ListParagraph"/>
        <w:ind w:left="360"/>
        <w:jc w:val="both"/>
        <w:rPr>
          <w:rFonts w:ascii="Alef" w:hAnsi="Alef" w:cs="Alef"/>
          <w:rtl/>
        </w:rPr>
      </w:pPr>
      <w:r>
        <w:rPr>
          <w:rFonts w:ascii="Alef" w:hAnsi="Alef" w:cs="Alef" w:hint="cs"/>
          <w:rtl/>
        </w:rPr>
        <w:t xml:space="preserve">מתחרים במכרזים יכולים להיות קרובים יותר או פחות באופי פעילותם. כך מתחרה חוזר במכרזי בנייה גדולים יכול להיות בעל מומחיות בעבודות בטון ואילו מתחרה אחר אשר מתחרה מולו באותם מכרזים יכול להיות בעל מומחיות במערכת ניהול לקוחות. לכל אחד מהם יתכן שיהיו יכולות, אשר יאפשרו להם לעמוד בתנאי הסף הנדרשים בשלב המיון המוקדם ואף יתכן שהם בפועל התחרו בעבר במכרזים מסוג דומה. חרף זאת תחומי </w:t>
      </w:r>
      <w:proofErr w:type="spellStart"/>
      <w:r>
        <w:rPr>
          <w:rFonts w:ascii="Alef" w:hAnsi="Alef" w:cs="Alef" w:hint="cs"/>
          <w:rtl/>
        </w:rPr>
        <w:t>החוזקה</w:t>
      </w:r>
      <w:proofErr w:type="spellEnd"/>
      <w:r>
        <w:rPr>
          <w:rFonts w:ascii="Alef" w:hAnsi="Alef" w:cs="Alef" w:hint="cs"/>
          <w:rtl/>
        </w:rPr>
        <w:t xml:space="preserve"> שלהם והמומחיות שלהם שונים זה מזה. </w:t>
      </w:r>
    </w:p>
    <w:p w:rsidR="003B55CE" w:rsidRDefault="003B55CE" w:rsidP="003B55CE">
      <w:pPr>
        <w:pStyle w:val="ListParagraph"/>
        <w:ind w:left="360"/>
        <w:jc w:val="both"/>
        <w:rPr>
          <w:rFonts w:ascii="Alef" w:hAnsi="Alef" w:cs="Alef"/>
          <w:rtl/>
        </w:rPr>
      </w:pPr>
      <w:r>
        <w:rPr>
          <w:rFonts w:ascii="Alef" w:hAnsi="Alef" w:cs="Alef" w:hint="cs"/>
          <w:rtl/>
        </w:rPr>
        <w:lastRenderedPageBreak/>
        <w:t>ככל שתחומי המומחיות של החברות המתחרות במכרז רחוקים יותר זה מזה, כך תפחת הפגיעה האפשרית בתחרות מחבירתם המשותפת. ככל שהמתחרים יותר קרובים זה לזה באופי פעילותם ותחומי מומחיותם, כך יגבר החשש לתחרות מחבירתם במשותף להגשת הצעה במכרז.</w:t>
      </w:r>
    </w:p>
    <w:p w:rsidR="003B55CE" w:rsidRDefault="003B55CE" w:rsidP="003B55CE">
      <w:pPr>
        <w:pStyle w:val="ListParagraph"/>
        <w:ind w:left="360"/>
        <w:jc w:val="both"/>
        <w:rPr>
          <w:rFonts w:ascii="Alef" w:hAnsi="Alef" w:cs="Alef"/>
          <w:rtl/>
        </w:rPr>
      </w:pPr>
    </w:p>
    <w:p w:rsidR="003B55CE" w:rsidRDefault="003B55CE" w:rsidP="003B55CE">
      <w:pPr>
        <w:pStyle w:val="ListParagraph"/>
        <w:ind w:left="360"/>
        <w:jc w:val="both"/>
        <w:rPr>
          <w:rFonts w:ascii="Alef" w:hAnsi="Alef" w:cs="Alef"/>
          <w:rtl/>
        </w:rPr>
      </w:pPr>
      <w:r>
        <w:rPr>
          <w:rFonts w:ascii="Alef" w:hAnsi="Alef" w:cs="Alef" w:hint="cs"/>
          <w:rtl/>
        </w:rPr>
        <w:t>את מידת הקרבה בין המתחרים ניתן ללמוד גם מהסתכלות על ההתמודדות של שני המתחרים במכרזי עבר. ככל שקיימים יותר מכרזי עבר שאליהם ניגשו שני המתחרים המבקשים לחבור להגשה משותפת, כך ניתן להסיק שמדובר במתחרים קרובים יותר. בנוסף, הסתכלות על הדירוג הסופי של מתחרה אחד במכרזי עבר שבהם זכה המתחרה השני, תסייע אף היא לבחינת מידת הקרבה בין השחקנים. ככל שהמתחרה שלא זכה במכרז מדורג גבוה יותר במכרזי עבר שבהם זכה המתחרה השני, כך ניתן ללמוד שמדובר במתחרים קרובים יותר.</w:t>
      </w:r>
      <w:r>
        <w:rPr>
          <w:rStyle w:val="FootnoteReference"/>
          <w:rFonts w:ascii="Alef" w:hAnsi="Alef" w:cs="Alef"/>
          <w:rtl/>
        </w:rPr>
        <w:footnoteReference w:id="18"/>
      </w:r>
    </w:p>
    <w:p w:rsidR="003B55CE" w:rsidRDefault="003B55CE" w:rsidP="003B55CE">
      <w:pPr>
        <w:pStyle w:val="ListParagraph"/>
        <w:ind w:left="360"/>
        <w:rPr>
          <w:rFonts w:ascii="Alef" w:hAnsi="Alef" w:cs="Alef"/>
          <w:rtl/>
        </w:rPr>
      </w:pPr>
    </w:p>
    <w:p w:rsidR="003B55CE" w:rsidRPr="00627027" w:rsidRDefault="003B55CE" w:rsidP="00627027">
      <w:pPr>
        <w:pStyle w:val="ListParagraph"/>
        <w:numPr>
          <w:ilvl w:val="0"/>
          <w:numId w:val="11"/>
        </w:numPr>
        <w:spacing w:after="160" w:line="259" w:lineRule="auto"/>
        <w:rPr>
          <w:rFonts w:ascii="Alef" w:hAnsi="Alef" w:cs="Alef"/>
          <w:u w:val="single"/>
          <w:rtl/>
        </w:rPr>
      </w:pPr>
      <w:r>
        <w:rPr>
          <w:rFonts w:ascii="Alef" w:hAnsi="Alef" w:cs="Alef" w:hint="cs"/>
          <w:u w:val="single"/>
          <w:rtl/>
        </w:rPr>
        <w:t>זירת התחרות שמחוץ למכרז</w:t>
      </w:r>
    </w:p>
    <w:p w:rsidR="003B55CE" w:rsidRDefault="003B55CE" w:rsidP="003B55CE">
      <w:pPr>
        <w:pStyle w:val="ListParagraph"/>
        <w:ind w:left="360"/>
        <w:jc w:val="both"/>
        <w:rPr>
          <w:rFonts w:ascii="Alef" w:hAnsi="Alef" w:cs="Alef"/>
          <w:rtl/>
        </w:rPr>
      </w:pPr>
      <w:r>
        <w:rPr>
          <w:rFonts w:ascii="Alef" w:hAnsi="Alef" w:cs="Alef" w:hint="cs"/>
          <w:rtl/>
        </w:rPr>
        <w:t xml:space="preserve">גם אם נחה דעתנו שאין בחבירה של המתחרים כדי לפגוע פגיעה משמעותית בתחרות במכרז עצמו, יש לבחון גם את </w:t>
      </w:r>
      <w:r>
        <w:rPr>
          <w:rFonts w:ascii="Alef" w:hAnsi="Alef" w:cs="Alef" w:hint="cs"/>
          <w:rtl/>
        </w:rPr>
        <w:lastRenderedPageBreak/>
        <w:t xml:space="preserve">השפעת ההסדר על התחרות שבין הצדדים בשווקים נוספים שבהם הם מתחרים. בבחינת בקשת פטור לחבירה במכרז תמפה הממונה את כל השווקים שבהם מתקיימת בין הצדדים לחבירה תחרות ותבצע הערכה באשר למידת ההשפעה האפשרית של שיתוף הפעולה ביניהם על התמריצים שלהם להתחרות בשווקים הנוספים בהם הם מתחרים. </w:t>
      </w:r>
    </w:p>
    <w:p w:rsidR="00627027" w:rsidRDefault="00627027" w:rsidP="003B55CE">
      <w:pPr>
        <w:pStyle w:val="ListParagraph"/>
        <w:ind w:left="360"/>
        <w:jc w:val="both"/>
        <w:rPr>
          <w:rFonts w:ascii="Alef" w:hAnsi="Alef" w:cs="Alef"/>
          <w:rtl/>
        </w:rPr>
      </w:pPr>
    </w:p>
    <w:p w:rsidR="003B55CE" w:rsidRDefault="003B55CE" w:rsidP="003B55CE">
      <w:pPr>
        <w:pStyle w:val="ListParagraph"/>
        <w:ind w:left="360"/>
        <w:jc w:val="both"/>
        <w:rPr>
          <w:rFonts w:ascii="Alef" w:hAnsi="Alef" w:cs="Alef"/>
          <w:rtl/>
        </w:rPr>
      </w:pPr>
      <w:r>
        <w:rPr>
          <w:rFonts w:ascii="Alef" w:hAnsi="Alef" w:cs="Alef" w:hint="cs"/>
          <w:rtl/>
        </w:rPr>
        <w:t xml:space="preserve">ככלל, החששות העיקריים הנובעים מקיומו של שולחן משותף בין מתחרים בדמות הגשת הצעה משותפת במכרז הם, ראשית, הפחתת התמריצים שלהם להתחרות זה בזה; ושנית חילופי מידע תחרותי רגיש. </w:t>
      </w:r>
    </w:p>
    <w:p w:rsidR="00627027" w:rsidRDefault="00627027" w:rsidP="003B55CE">
      <w:pPr>
        <w:pStyle w:val="ListParagraph"/>
        <w:ind w:left="360"/>
        <w:jc w:val="both"/>
        <w:rPr>
          <w:rFonts w:ascii="Alef" w:hAnsi="Alef" w:cs="Alef"/>
          <w:rtl/>
        </w:rPr>
      </w:pPr>
    </w:p>
    <w:p w:rsidR="003B55CE" w:rsidRDefault="003B55CE" w:rsidP="003B55CE">
      <w:pPr>
        <w:pStyle w:val="ListParagraph"/>
        <w:ind w:left="360"/>
        <w:jc w:val="both"/>
        <w:rPr>
          <w:rFonts w:ascii="Alef" w:hAnsi="Alef" w:cs="Alef"/>
          <w:rtl/>
        </w:rPr>
      </w:pPr>
      <w:r>
        <w:rPr>
          <w:rFonts w:ascii="Alef" w:hAnsi="Alef" w:cs="Alef" w:hint="cs"/>
          <w:rtl/>
        </w:rPr>
        <w:t>בשורה של החלטות שניתנו על ידי רשות התחרות בעבר עמדה הרשות על השיקולים שיש לשקול בעת בחינת החששות התחרותיים הנובעים מקיומו של שולחן משותף.</w:t>
      </w:r>
      <w:r>
        <w:rPr>
          <w:rStyle w:val="FootnoteReference"/>
          <w:rFonts w:ascii="Alef" w:hAnsi="Alef" w:cs="Alef"/>
          <w:rtl/>
        </w:rPr>
        <w:footnoteReference w:id="19"/>
      </w:r>
      <w:r>
        <w:rPr>
          <w:rFonts w:ascii="Alef" w:hAnsi="Alef" w:cs="Alef" w:hint="cs"/>
          <w:rtl/>
        </w:rPr>
        <w:t xml:space="preserve"> שיקולים </w:t>
      </w:r>
      <w:r>
        <w:rPr>
          <w:rFonts w:ascii="Alef" w:hAnsi="Alef" w:cs="Alef" w:hint="cs"/>
          <w:rtl/>
        </w:rPr>
        <w:lastRenderedPageBreak/>
        <w:t xml:space="preserve">אלה נכונים גם בבואנו לבחון את השולחן המשותף שנוצר כתוצאה מחבירה לצורך הגשת הצעה במכרז  והשפעתה על זירות התחרות הנוספות של הצדדים למיזם. בהקשר זה יש לתת את הדעת לגודלו וחשיבותו של המכרז המדובר ביחס לגודל הפעילות המתחרה הנוספת של הצדדים. ככל שמשקלו של המכרז המדובר הוא נכבד יותר, יגברו החששות מפגיעה בתמריצי הורי המיזם להתחרות זה בזה בשווקים אחרים. יש לתת את הדעת גם למספר המתחרים הנוספים הקיים בכל אחד מהשווקים הנוספים שבהם מתחרים הצדדים ולמידת הקרבה התחרותית בין הורי המיזם בשווקים הנוספים. כמו כן, יש לתת את הדעת לנתח השוק והדומיננטיות של הצדדים למיזם בשווקים נוספים שבהם הם מתחרים. ברי שככל שישנם פחות מתחרים בשווקי התחרות הנוספים, קרבתם של הצדדים למיזם רבה יותר ונתח השוק המשותף שלהם בשווקים אלה גדול יותר, כך יגברו החששות התחרותיים הטמונים בהיווצרות השולחן המשותף. </w:t>
      </w:r>
    </w:p>
    <w:p w:rsidR="003B55CE" w:rsidRDefault="003B55CE" w:rsidP="003B55CE">
      <w:pPr>
        <w:pStyle w:val="ListParagraph"/>
        <w:ind w:left="360"/>
        <w:jc w:val="both"/>
        <w:rPr>
          <w:rFonts w:ascii="Alef" w:hAnsi="Alef" w:cs="Alef"/>
          <w:rtl/>
        </w:rPr>
      </w:pPr>
      <w:r>
        <w:rPr>
          <w:rFonts w:ascii="Alef" w:hAnsi="Alef" w:cs="Alef" w:hint="cs"/>
          <w:rtl/>
        </w:rPr>
        <w:t xml:space="preserve">כמו כן וכחלק מן הניתוח התחרותי יש לתת את הדעת למנגנונים שנקבעו לצורך שמירה על סודיות מידע רגיש מבחינה תחרותית ולשאלה האם העברת המידע עלולה לפגוע בתחרות. צדדים המבקשים מן הממונה פטור מאישור הסדר </w:t>
      </w:r>
      <w:r>
        <w:rPr>
          <w:rFonts w:ascii="Alef" w:hAnsi="Alef" w:cs="Alef" w:hint="cs"/>
          <w:rtl/>
        </w:rPr>
        <w:lastRenderedPageBreak/>
        <w:t>כובל לחבירה במכרז צריכים להתייחס בהסדר שביניהם לסוגיית העברות המידע באופן שימנע מעבר של מידע רגיש תחרותית בין חברי המיזם או יקבע מנגנונים חוזיים אשר ימנעו חשש לפגיעה תחרותית כתוצאה מהעברת המידע.</w:t>
      </w:r>
      <w:r>
        <w:rPr>
          <w:rStyle w:val="FootnoteReference"/>
          <w:rFonts w:ascii="Alef" w:hAnsi="Alef" w:cs="Alef"/>
          <w:rtl/>
        </w:rPr>
        <w:footnoteReference w:id="20"/>
      </w:r>
      <w:r>
        <w:rPr>
          <w:rFonts w:ascii="Alef" w:hAnsi="Alef" w:cs="Alef" w:hint="cs"/>
          <w:rtl/>
        </w:rPr>
        <w:t xml:space="preserve"> </w:t>
      </w:r>
    </w:p>
    <w:p w:rsidR="003B55CE" w:rsidRDefault="003B55CE" w:rsidP="003B55CE">
      <w:pPr>
        <w:pStyle w:val="ListParagraph"/>
        <w:ind w:left="360"/>
        <w:jc w:val="both"/>
        <w:rPr>
          <w:rFonts w:ascii="Alef" w:hAnsi="Alef" w:cs="Alef"/>
        </w:rPr>
      </w:pPr>
    </w:p>
    <w:p w:rsidR="003B55CE" w:rsidRPr="00FA4516" w:rsidRDefault="003B55CE" w:rsidP="003B55CE">
      <w:pPr>
        <w:pStyle w:val="ListParagraph"/>
        <w:numPr>
          <w:ilvl w:val="0"/>
          <w:numId w:val="11"/>
        </w:numPr>
        <w:spacing w:after="160" w:line="259" w:lineRule="auto"/>
        <w:jc w:val="both"/>
        <w:rPr>
          <w:rFonts w:ascii="Alef" w:hAnsi="Alef" w:cs="Alef"/>
          <w:u w:val="single"/>
        </w:rPr>
      </w:pPr>
      <w:r>
        <w:rPr>
          <w:rFonts w:ascii="Alef" w:hAnsi="Alef" w:cs="Alef" w:hint="cs"/>
          <w:u w:val="single"/>
          <w:rtl/>
        </w:rPr>
        <w:t>תועלות פרו-תחרותיות</w:t>
      </w:r>
      <w:r w:rsidRPr="00FA4516">
        <w:rPr>
          <w:rFonts w:ascii="Alef" w:hAnsi="Alef" w:cs="Alef" w:hint="cs"/>
          <w:u w:val="single"/>
          <w:rtl/>
        </w:rPr>
        <w:t xml:space="preserve"> שנובעות מהחבירה</w:t>
      </w:r>
    </w:p>
    <w:p w:rsidR="003B55CE" w:rsidRDefault="003B55CE" w:rsidP="003B55CE">
      <w:pPr>
        <w:pStyle w:val="ListParagraph"/>
        <w:ind w:left="360"/>
        <w:jc w:val="both"/>
        <w:rPr>
          <w:rFonts w:ascii="Alef" w:hAnsi="Alef" w:cs="Alef"/>
          <w:rtl/>
        </w:rPr>
      </w:pPr>
      <w:r>
        <w:rPr>
          <w:rFonts w:ascii="Alef" w:hAnsi="Alef" w:cs="Alef" w:hint="cs"/>
          <w:rtl/>
        </w:rPr>
        <w:t>במסגרת ההערכה התחרותית של חבירת מתחרים במכרז עשויה הממונה להידרש גם לתועלות פרו-תחרויות ולשיפור צפוי במצב התחרותי, ככל שאלו נובעים מהחבירה</w:t>
      </w:r>
      <w:r w:rsidRPr="00627027">
        <w:rPr>
          <w:rFonts w:ascii="Alef" w:hAnsi="Alef" w:cs="Alef" w:hint="cs"/>
          <w:rtl/>
        </w:rPr>
        <w:t>.</w:t>
      </w:r>
      <w:r w:rsidRPr="00627027">
        <w:rPr>
          <w:rStyle w:val="FootnoteReference"/>
          <w:rFonts w:ascii="Alef" w:hAnsi="Alef" w:cs="Alef"/>
        </w:rPr>
        <w:t xml:space="preserve"> </w:t>
      </w:r>
      <w:r w:rsidRPr="00627027">
        <w:rPr>
          <w:rStyle w:val="FootnoteReference"/>
          <w:rFonts w:ascii="Alef" w:hAnsi="Alef" w:cs="Alef"/>
        </w:rPr>
        <w:footnoteReference w:id="21"/>
      </w:r>
      <w:r w:rsidRPr="00627027">
        <w:rPr>
          <w:rFonts w:ascii="Alef" w:hAnsi="Alef" w:cs="Alef" w:hint="cs"/>
          <w:rtl/>
        </w:rPr>
        <w:t xml:space="preserve"> </w:t>
      </w:r>
      <w:r>
        <w:rPr>
          <w:rFonts w:ascii="Alef" w:hAnsi="Alef" w:cs="Alef" w:hint="cs"/>
          <w:rtl/>
        </w:rPr>
        <w:t xml:space="preserve">אם התועלת הפרו-תחרותית הצפויה מההסדר אינה עולה באופן משמעותי על פגיעתו הצפויה של ההסדר בתחרות, מדובר בהסדר שיש בו פגיעה של ממש בתחרות. לעומת זאת, הסדר </w:t>
      </w:r>
      <w:r>
        <w:rPr>
          <w:rFonts w:ascii="Alef" w:hAnsi="Alef" w:cs="Alef" w:hint="cs"/>
          <w:rtl/>
        </w:rPr>
        <w:lastRenderedPageBreak/>
        <w:t>שהפגיעה התחרותית הצפויה ממנו היא קטנה וטמונות בהסדר תועלות פרו תחרותיות מוכחות ומשמעותיות שגוברות במאזן המצטבר על הפגיעה התחרותית הצפויה הוא הסדר שאין בו פגיעה של ממש בתחרות.</w:t>
      </w:r>
      <w:r>
        <w:rPr>
          <w:rStyle w:val="FootnoteReference"/>
          <w:rFonts w:ascii="Alef" w:hAnsi="Alef" w:cs="Alef"/>
          <w:rtl/>
        </w:rPr>
        <w:footnoteReference w:id="22"/>
      </w:r>
      <w:r>
        <w:rPr>
          <w:rFonts w:ascii="Alef" w:hAnsi="Alef" w:cs="Alef" w:hint="cs"/>
          <w:rtl/>
        </w:rPr>
        <w:t xml:space="preserve"> </w:t>
      </w:r>
    </w:p>
    <w:p w:rsidR="003B55CE" w:rsidRPr="00AE499A" w:rsidRDefault="003B55CE" w:rsidP="003B55CE">
      <w:pPr>
        <w:pStyle w:val="ListParagraph"/>
        <w:ind w:left="360"/>
        <w:jc w:val="both"/>
        <w:rPr>
          <w:rFonts w:ascii="Alef" w:hAnsi="Alef" w:cs="Alef"/>
          <w:rtl/>
        </w:rPr>
      </w:pPr>
    </w:p>
    <w:p w:rsidR="003B55CE" w:rsidRPr="00A13B1B" w:rsidRDefault="003B55CE" w:rsidP="003B55CE">
      <w:pPr>
        <w:pStyle w:val="ListParagraph"/>
        <w:numPr>
          <w:ilvl w:val="0"/>
          <w:numId w:val="14"/>
        </w:numPr>
        <w:spacing w:after="160" w:line="259" w:lineRule="auto"/>
        <w:rPr>
          <w:rFonts w:ascii="Alef" w:hAnsi="Alef" w:cs="Alef"/>
          <w:b/>
          <w:bCs/>
          <w:rtl/>
        </w:rPr>
      </w:pPr>
      <w:r w:rsidRPr="00B811B2">
        <w:rPr>
          <w:rFonts w:ascii="Alef" w:hAnsi="Alef" w:cs="Alef" w:hint="cs"/>
          <w:b/>
          <w:bCs/>
          <w:rtl/>
        </w:rPr>
        <w:t>עיקרה של החבירה ונחיצותה</w:t>
      </w:r>
    </w:p>
    <w:p w:rsidR="003B55CE" w:rsidRPr="005E5B8B" w:rsidRDefault="003B55CE" w:rsidP="003B55CE">
      <w:pPr>
        <w:jc w:val="both"/>
        <w:rPr>
          <w:rFonts w:ascii="Alef" w:hAnsi="Alef" w:cs="Alef"/>
          <w:rtl/>
        </w:rPr>
      </w:pPr>
      <w:r>
        <w:rPr>
          <w:rFonts w:ascii="Alef" w:hAnsi="Alef" w:cs="Alef" w:hint="cs"/>
          <w:rtl/>
        </w:rPr>
        <w:t>עד כאן עסקנו בעיקר בשיקולים שיש לשקול בבואנו לנתח את מידת הפגיעה שנגרמת לתחרות כתוצאה מחבירתם של מתחרים להגשת הצעה במכרז (או חבירה בשלב המיון המוקדם). על מנת שחבירה בין מתחרים לצורך הגשת הצעה במכרז תוכל לקבל פטור מאישור הסדר כובל על פי סעיף 14 לחוק התחרות הכלכלית, יש להראות גם שעיקרה של החבירה בין המתחרים איננה</w:t>
      </w:r>
      <w:r w:rsidRPr="00373B11">
        <w:rPr>
          <w:rFonts w:ascii="Alef" w:hAnsi="Alef" w:cs="Alef"/>
          <w:rtl/>
        </w:rPr>
        <w:t xml:space="preserve"> בהפחתת התחרות או מניעתה ואין </w:t>
      </w:r>
      <w:r>
        <w:rPr>
          <w:rFonts w:ascii="Alef" w:hAnsi="Alef" w:cs="Alef" w:hint="cs"/>
          <w:rtl/>
        </w:rPr>
        <w:t>בה</w:t>
      </w:r>
      <w:r w:rsidRPr="00373B11">
        <w:rPr>
          <w:rFonts w:ascii="Alef" w:hAnsi="Alef" w:cs="Alef"/>
          <w:rtl/>
        </w:rPr>
        <w:t xml:space="preserve"> כבילות שאינן נחוצות למימוש </w:t>
      </w:r>
      <w:r w:rsidRPr="005E5B8B">
        <w:rPr>
          <w:rFonts w:ascii="Alef" w:hAnsi="Alef" w:cs="Alef" w:hint="cs"/>
          <w:rtl/>
        </w:rPr>
        <w:t xml:space="preserve">עיקרה. </w:t>
      </w:r>
    </w:p>
    <w:p w:rsidR="003B55CE" w:rsidRDefault="003B55CE" w:rsidP="003B55CE">
      <w:pPr>
        <w:jc w:val="both"/>
        <w:rPr>
          <w:rFonts w:ascii="Alef" w:hAnsi="Alef" w:cs="Alef"/>
          <w:rtl/>
        </w:rPr>
      </w:pPr>
      <w:r w:rsidRPr="000C4429">
        <w:rPr>
          <w:rFonts w:ascii="Alef" w:hAnsi="Alef" w:cs="Alef"/>
          <w:rtl/>
        </w:rPr>
        <w:lastRenderedPageBreak/>
        <w:t>האופן שבו יש לפרש יסוד זה נדון בהרחבה בגילוי דעת 1/18</w:t>
      </w:r>
      <w:r w:rsidRPr="000B6BAD">
        <w:rPr>
          <w:rStyle w:val="FootnoteReference"/>
          <w:rFonts w:ascii="Alef" w:hAnsi="Alef" w:cs="Alef"/>
          <w:rtl/>
        </w:rPr>
        <w:footnoteReference w:id="23"/>
      </w:r>
      <w:r w:rsidRPr="000C4429">
        <w:rPr>
          <w:rFonts w:ascii="Alef" w:hAnsi="Alef" w:cs="Alef"/>
          <w:rtl/>
        </w:rPr>
        <w:t xml:space="preserve"> וכל האמור </w:t>
      </w:r>
      <w:r>
        <w:rPr>
          <w:rFonts w:ascii="Alef" w:hAnsi="Alef" w:cs="Alef" w:hint="cs"/>
          <w:rtl/>
        </w:rPr>
        <w:t>בו</w:t>
      </w:r>
      <w:r w:rsidRPr="000C4429">
        <w:rPr>
          <w:rFonts w:ascii="Alef" w:hAnsi="Alef" w:cs="Alef"/>
          <w:rtl/>
        </w:rPr>
        <w:t xml:space="preserve"> רלוונטי גם לעניין הניתוח דנן. המונח "עיקרו של ההסדר" פורש</w:t>
      </w:r>
      <w:r w:rsidRPr="00351112">
        <w:rPr>
          <w:rFonts w:ascii="Alef" w:hAnsi="Alef" w:cs="Alef"/>
          <w:rtl/>
        </w:rPr>
        <w:t xml:space="preserve"> כ"אותו שילוב כוחות עסקיים לשם ייעול, הגדלת תפוקה, שיפור המוצר וכדומה".</w:t>
      </w:r>
      <w:r w:rsidRPr="000C4429">
        <w:rPr>
          <w:rFonts w:ascii="Alef" w:hAnsi="Alef" w:cs="Alef"/>
          <w:rtl/>
        </w:rPr>
        <w:t xml:space="preserve"> כמו כן נקבע כי צריך שיתקיימו שלושה יסודות נוספים: </w:t>
      </w:r>
      <w:r w:rsidRPr="00351112">
        <w:rPr>
          <w:rFonts w:ascii="Alef" w:hAnsi="Alef" w:cs="Alef"/>
          <w:rtl/>
        </w:rPr>
        <w:t>ראשית, שכל הכבילות שבהסדר יהיו "נחוצות למימוש עיקרו"; שנית, שהכבילות לא יהיו רחבות יותר מהדרוש; שלישית, שהכבילות</w:t>
      </w:r>
      <w:r w:rsidRPr="009D7FB6">
        <w:rPr>
          <w:rFonts w:ascii="Alef" w:hAnsi="Alef" w:cs="Alef"/>
          <w:rtl/>
        </w:rPr>
        <w:t xml:space="preserve"> יהיו משניות לאותו שיתוף-פעולה לגיטימי שהוא "עיקרו של ההסדר".</w:t>
      </w:r>
    </w:p>
    <w:p w:rsidR="003B55CE" w:rsidRDefault="003B55CE" w:rsidP="003B55CE">
      <w:pPr>
        <w:jc w:val="both"/>
        <w:rPr>
          <w:rFonts w:ascii="Alef" w:hAnsi="Alef" w:cs="Alef"/>
          <w:rtl/>
        </w:rPr>
      </w:pPr>
      <w:r>
        <w:rPr>
          <w:rFonts w:ascii="Alef" w:hAnsi="Alef" w:cs="Alef" w:hint="cs"/>
          <w:rtl/>
        </w:rPr>
        <w:t>לענייננו יש לתת את הדעת בעיקר לעניינים הבאים:</w:t>
      </w:r>
    </w:p>
    <w:p w:rsidR="003B55CE" w:rsidRPr="00327A55" w:rsidRDefault="003B55CE" w:rsidP="003B55CE">
      <w:pPr>
        <w:pStyle w:val="ListParagraph"/>
        <w:numPr>
          <w:ilvl w:val="0"/>
          <w:numId w:val="12"/>
        </w:numPr>
        <w:spacing w:after="160" w:line="259" w:lineRule="auto"/>
        <w:rPr>
          <w:rFonts w:ascii="Alef" w:hAnsi="Alef" w:cs="Alef"/>
          <w:u w:val="single"/>
          <w:rtl/>
        </w:rPr>
      </w:pPr>
      <w:r w:rsidRPr="00327A55">
        <w:rPr>
          <w:rFonts w:ascii="Alef" w:hAnsi="Alef" w:cs="Alef"/>
          <w:u w:val="single"/>
          <w:rtl/>
        </w:rPr>
        <w:t>"</w:t>
      </w:r>
      <w:r w:rsidRPr="00327A55">
        <w:rPr>
          <w:rFonts w:ascii="Alef" w:hAnsi="Alef" w:cs="Alef" w:hint="eastAsia"/>
          <w:u w:val="single"/>
          <w:rtl/>
        </w:rPr>
        <w:t>עיקרה</w:t>
      </w:r>
      <w:r w:rsidRPr="00327A55">
        <w:rPr>
          <w:rFonts w:ascii="Alef" w:hAnsi="Alef" w:cs="Alef"/>
          <w:u w:val="single"/>
          <w:rtl/>
        </w:rPr>
        <w:t xml:space="preserve"> </w:t>
      </w:r>
      <w:r w:rsidRPr="00327A55">
        <w:rPr>
          <w:rFonts w:ascii="Alef" w:hAnsi="Alef" w:cs="Alef" w:hint="eastAsia"/>
          <w:u w:val="single"/>
          <w:rtl/>
        </w:rPr>
        <w:t>של</w:t>
      </w:r>
      <w:r w:rsidRPr="00327A55">
        <w:rPr>
          <w:rFonts w:ascii="Alef" w:hAnsi="Alef" w:cs="Alef"/>
          <w:u w:val="single"/>
          <w:rtl/>
        </w:rPr>
        <w:t xml:space="preserve"> </w:t>
      </w:r>
      <w:r w:rsidRPr="00327A55">
        <w:rPr>
          <w:rFonts w:ascii="Alef" w:hAnsi="Alef" w:cs="Alef" w:hint="eastAsia"/>
          <w:u w:val="single"/>
          <w:rtl/>
        </w:rPr>
        <w:t>החבירה</w:t>
      </w:r>
      <w:r w:rsidRPr="00327A55">
        <w:rPr>
          <w:rFonts w:ascii="Alef" w:hAnsi="Alef" w:cs="Alef"/>
          <w:u w:val="single"/>
          <w:rtl/>
        </w:rPr>
        <w:t>":</w:t>
      </w:r>
    </w:p>
    <w:p w:rsidR="003B55CE" w:rsidRDefault="003B55CE" w:rsidP="003B55CE">
      <w:pPr>
        <w:jc w:val="both"/>
        <w:rPr>
          <w:rFonts w:ascii="Alef" w:hAnsi="Alef" w:cs="Alef"/>
          <w:rtl/>
        </w:rPr>
      </w:pPr>
      <w:r>
        <w:rPr>
          <w:rFonts w:ascii="Alef" w:hAnsi="Alef" w:cs="Alef" w:hint="cs"/>
          <w:rtl/>
        </w:rPr>
        <w:t xml:space="preserve">בחבירה של מתחרים לצורך הגשת הצעה במכרז עולים תדיר שלושה נימוקים מרכזיים. </w:t>
      </w:r>
      <w:r w:rsidRPr="00185702">
        <w:rPr>
          <w:rFonts w:ascii="Alef" w:hAnsi="Alef" w:cs="Alef" w:hint="cs"/>
          <w:b/>
          <w:bCs/>
          <w:rtl/>
        </w:rPr>
        <w:t>הראשון</w:t>
      </w:r>
      <w:r>
        <w:rPr>
          <w:rFonts w:ascii="Alef" w:hAnsi="Alef" w:cs="Alef" w:hint="cs"/>
          <w:rtl/>
        </w:rPr>
        <w:t>, הוא הנימוק לפיו חבירה של מספר מתחרים תאפשר להם לעמוד בדרישות הפיננסיות בצורה מיטבית ולהתגבר על קשיי מימון.</w:t>
      </w:r>
      <w:r w:rsidRPr="007E069A">
        <w:rPr>
          <w:rFonts w:ascii="Alef" w:hAnsi="Alef" w:cs="Alef" w:hint="cs"/>
          <w:b/>
          <w:bCs/>
          <w:rtl/>
        </w:rPr>
        <w:t xml:space="preserve"> </w:t>
      </w:r>
      <w:r w:rsidRPr="00185702">
        <w:rPr>
          <w:rFonts w:ascii="Alef" w:hAnsi="Alef" w:cs="Alef" w:hint="cs"/>
          <w:b/>
          <w:bCs/>
          <w:rtl/>
        </w:rPr>
        <w:t>השני</w:t>
      </w:r>
      <w:r>
        <w:rPr>
          <w:rFonts w:ascii="Alef" w:hAnsi="Alef" w:cs="Alef" w:hint="cs"/>
          <w:rtl/>
        </w:rPr>
        <w:t>, הוא הנימוק לפיו חבירה של מספר מתחרים להגשת הצעה במכרז היא מהלך לפיזור הסיכונים על ידי הגורמים החוברים ביניהם</w:t>
      </w:r>
      <w:r w:rsidRPr="0031419B">
        <w:rPr>
          <w:rFonts w:ascii="Alef" w:hAnsi="Alef" w:cs="Alef" w:hint="cs"/>
          <w:rtl/>
        </w:rPr>
        <w:t>.</w:t>
      </w:r>
      <w:r w:rsidRPr="007E069A">
        <w:rPr>
          <w:rFonts w:ascii="Alef" w:hAnsi="Alef" w:cs="Alef" w:hint="cs"/>
          <w:b/>
          <w:bCs/>
          <w:rtl/>
        </w:rPr>
        <w:t xml:space="preserve"> </w:t>
      </w:r>
      <w:r w:rsidRPr="00887BB0">
        <w:rPr>
          <w:rFonts w:ascii="Alef" w:hAnsi="Alef" w:cs="Alef" w:hint="cs"/>
          <w:b/>
          <w:bCs/>
          <w:rtl/>
        </w:rPr>
        <w:t>השלישי</w:t>
      </w:r>
      <w:r>
        <w:rPr>
          <w:rFonts w:ascii="Alef" w:hAnsi="Alef" w:cs="Alef" w:hint="cs"/>
          <w:rtl/>
        </w:rPr>
        <w:t xml:space="preserve">, הוא הנימוק לפיו חבירתם של שני מתחרים ביחד תעמיד מתחרה חזק יותר </w:t>
      </w:r>
      <w:r>
        <w:rPr>
          <w:rFonts w:ascii="Alef" w:hAnsi="Alef" w:cs="Alef" w:hint="cs"/>
          <w:rtl/>
        </w:rPr>
        <w:lastRenderedPageBreak/>
        <w:t xml:space="preserve">ומשמעותי יותר שייצר תחרות למתחרה מבוסס ובהתאמה תגביר את סיכוייהם לזכות במכרז. </w:t>
      </w:r>
    </w:p>
    <w:p w:rsidR="003B55CE" w:rsidRDefault="003B55CE" w:rsidP="00110AAC">
      <w:pPr>
        <w:jc w:val="both"/>
        <w:rPr>
          <w:rFonts w:ascii="Alef" w:hAnsi="Alef" w:cs="Alef"/>
          <w:rtl/>
        </w:rPr>
      </w:pPr>
      <w:r>
        <w:rPr>
          <w:rFonts w:ascii="Alef" w:hAnsi="Alef" w:cs="Alef" w:hint="cs"/>
          <w:rtl/>
        </w:rPr>
        <w:t xml:space="preserve">במקרים המתאימים, שיקולים אלה יכולים להוות את "עיקרו של ההסדר" ולעמוד בדרישה לפיה עיקרו של ההסדר אינו בהפחתת תחרות או במניעתה. היינו, שלא מדובר בהסדר עירום. </w:t>
      </w:r>
      <w:r w:rsidRPr="00327A55">
        <w:rPr>
          <w:rFonts w:ascii="Alef" w:hAnsi="Alef" w:cs="Alef" w:hint="eastAsia"/>
          <w:rtl/>
        </w:rPr>
        <w:t>שלושת</w:t>
      </w:r>
      <w:r w:rsidRPr="00327A55">
        <w:rPr>
          <w:rFonts w:ascii="Alef" w:hAnsi="Alef" w:cs="Alef"/>
          <w:rtl/>
        </w:rPr>
        <w:t xml:space="preserve"> הנימוקים המפורטים לעיל אינ</w:t>
      </w:r>
      <w:r>
        <w:rPr>
          <w:rFonts w:ascii="Alef" w:hAnsi="Alef" w:cs="Alef" w:hint="cs"/>
          <w:rtl/>
        </w:rPr>
        <w:t>ם</w:t>
      </w:r>
      <w:r w:rsidRPr="00327A55">
        <w:rPr>
          <w:rFonts w:ascii="Alef" w:hAnsi="Alef" w:cs="Alef"/>
          <w:rtl/>
        </w:rPr>
        <w:t xml:space="preserve"> רשימה סגורה. ההתייחסות הספציפית אליהם נעשתה בשל השכיחות הרבה שבה הם צפים ועולים לדיון. </w:t>
      </w:r>
    </w:p>
    <w:p w:rsidR="003B55CE" w:rsidRPr="00327A55" w:rsidRDefault="003B55CE" w:rsidP="00110AAC">
      <w:pPr>
        <w:pStyle w:val="ListParagraph"/>
        <w:numPr>
          <w:ilvl w:val="0"/>
          <w:numId w:val="12"/>
        </w:numPr>
        <w:spacing w:after="160" w:line="259" w:lineRule="auto"/>
        <w:jc w:val="both"/>
        <w:rPr>
          <w:rFonts w:ascii="Alef" w:hAnsi="Alef" w:cs="Alef"/>
          <w:u w:val="single"/>
          <w:rtl/>
        </w:rPr>
      </w:pPr>
      <w:r w:rsidRPr="00327A55">
        <w:rPr>
          <w:rFonts w:ascii="Alef" w:hAnsi="Alef" w:cs="Alef"/>
          <w:u w:val="single"/>
          <w:rtl/>
        </w:rPr>
        <w:t>"</w:t>
      </w:r>
      <w:r w:rsidRPr="00327A55">
        <w:rPr>
          <w:rFonts w:ascii="Alef" w:hAnsi="Alef" w:cs="Alef" w:hint="eastAsia"/>
          <w:u w:val="single"/>
          <w:rtl/>
        </w:rPr>
        <w:t>נחיצות</w:t>
      </w:r>
      <w:r w:rsidRPr="00327A55">
        <w:rPr>
          <w:rFonts w:ascii="Alef" w:hAnsi="Alef" w:cs="Alef"/>
          <w:u w:val="single"/>
          <w:rtl/>
        </w:rPr>
        <w:t xml:space="preserve"> </w:t>
      </w:r>
      <w:r w:rsidRPr="00327A55">
        <w:rPr>
          <w:rFonts w:ascii="Alef" w:hAnsi="Alef" w:cs="Alef" w:hint="eastAsia"/>
          <w:u w:val="single"/>
          <w:rtl/>
        </w:rPr>
        <w:t>החבירה</w:t>
      </w:r>
      <w:r w:rsidRPr="00327A55">
        <w:rPr>
          <w:rFonts w:ascii="Alef" w:hAnsi="Alef" w:cs="Alef"/>
          <w:u w:val="single"/>
          <w:rtl/>
        </w:rPr>
        <w:t xml:space="preserve"> </w:t>
      </w:r>
      <w:r w:rsidRPr="00327A55">
        <w:rPr>
          <w:rFonts w:ascii="Alef" w:hAnsi="Alef" w:cs="Alef" w:hint="eastAsia"/>
          <w:u w:val="single"/>
          <w:rtl/>
        </w:rPr>
        <w:t>למימוש</w:t>
      </w:r>
      <w:r w:rsidRPr="00327A55">
        <w:rPr>
          <w:rFonts w:ascii="Alef" w:hAnsi="Alef" w:cs="Alef"/>
          <w:u w:val="single"/>
          <w:rtl/>
        </w:rPr>
        <w:t xml:space="preserve"> </w:t>
      </w:r>
      <w:r w:rsidRPr="00327A55">
        <w:rPr>
          <w:rFonts w:ascii="Alef" w:hAnsi="Alef" w:cs="Alef" w:hint="eastAsia"/>
          <w:u w:val="single"/>
          <w:rtl/>
        </w:rPr>
        <w:t>עיקרה</w:t>
      </w:r>
      <w:r w:rsidRPr="00327A55">
        <w:rPr>
          <w:rFonts w:ascii="Alef" w:hAnsi="Alef" w:cs="Alef"/>
          <w:u w:val="single"/>
          <w:rtl/>
        </w:rPr>
        <w:t>"</w:t>
      </w:r>
    </w:p>
    <w:p w:rsidR="003B55CE" w:rsidRDefault="003B55CE" w:rsidP="00E950A2">
      <w:pPr>
        <w:contextualSpacing/>
        <w:jc w:val="both"/>
        <w:rPr>
          <w:rFonts w:ascii="Alef" w:hAnsi="Alef" w:cs="Alef"/>
          <w:rtl/>
        </w:rPr>
      </w:pPr>
      <w:r>
        <w:rPr>
          <w:rFonts w:ascii="Alef" w:hAnsi="Alef" w:cs="Alef" w:hint="cs"/>
          <w:rtl/>
        </w:rPr>
        <w:t xml:space="preserve">על הצדדים לחבירה להראות שהחבירה נחוצה על מנת להשיג את התכלית לה הם טוענים. </w:t>
      </w:r>
    </w:p>
    <w:p w:rsidR="003B55CE" w:rsidRDefault="003B55CE" w:rsidP="00E950A2">
      <w:pPr>
        <w:jc w:val="both"/>
        <w:rPr>
          <w:rFonts w:ascii="Alef" w:hAnsi="Alef" w:cs="Alef"/>
          <w:rtl/>
        </w:rPr>
      </w:pPr>
      <w:r>
        <w:rPr>
          <w:rFonts w:ascii="Alef" w:hAnsi="Alef" w:cs="Alef" w:hint="cs"/>
          <w:rtl/>
        </w:rPr>
        <w:t xml:space="preserve">כך לדוגמא, צדדים הטוענים כי החבירה תאפשר להם להתגבר על קשיי מימון נדרשים להראות מדוע אין באפשרותם להתקשר עם גורם פיננסי. נימוק זה צריך להיבחן בזהירות יתרה ובמידה של חשדנות. שכן, חבירה עם גורם פיננסי, להבדיל מחבירה בין מתחרים, אינה מעלה, ככלל, חששות תחרותיים. </w:t>
      </w:r>
    </w:p>
    <w:p w:rsidR="003B55CE" w:rsidRDefault="003B55CE" w:rsidP="003B55CE">
      <w:pPr>
        <w:jc w:val="both"/>
        <w:rPr>
          <w:rFonts w:ascii="Alef" w:hAnsi="Alef" w:cs="Alef"/>
          <w:rtl/>
        </w:rPr>
      </w:pPr>
      <w:r>
        <w:rPr>
          <w:rFonts w:ascii="Alef" w:hAnsi="Alef" w:cs="Alef" w:hint="cs"/>
          <w:rtl/>
        </w:rPr>
        <w:t>הנימוק לפיו</w:t>
      </w:r>
      <w:r w:rsidRPr="0031419B">
        <w:rPr>
          <w:rFonts w:ascii="Alef" w:hAnsi="Alef" w:cs="Alef" w:hint="cs"/>
          <w:rtl/>
        </w:rPr>
        <w:t xml:space="preserve"> החבירה </w:t>
      </w:r>
      <w:r>
        <w:rPr>
          <w:rFonts w:ascii="Alef" w:hAnsi="Alef" w:cs="Alef" w:hint="cs"/>
          <w:rtl/>
        </w:rPr>
        <w:t>בין ה</w:t>
      </w:r>
      <w:r w:rsidRPr="0031419B">
        <w:rPr>
          <w:rFonts w:ascii="Alef" w:hAnsi="Alef" w:cs="Alef" w:hint="cs"/>
          <w:rtl/>
        </w:rPr>
        <w:t>מתחרים מאפשרת לגורמים שחוברים זה לזה לגשת למכרזים רבים יותר במקביל ובכך לפזר את סי</w:t>
      </w:r>
      <w:r>
        <w:rPr>
          <w:rFonts w:ascii="Alef" w:hAnsi="Alef" w:cs="Alef" w:hint="cs"/>
          <w:rtl/>
        </w:rPr>
        <w:t xml:space="preserve">כוניהם הוא נימוק שעשוי להצדיק חבירה בין מתחרים ככל שיש לו ביסוס איתן בקרקע המציאות. לאמור, אין די באמירה בדבר </w:t>
      </w:r>
      <w:r>
        <w:rPr>
          <w:rFonts w:ascii="Alef" w:hAnsi="Alef" w:cs="Alef" w:hint="cs"/>
          <w:rtl/>
        </w:rPr>
        <w:lastRenderedPageBreak/>
        <w:t>"חלוקת סיכונים" על מנת לשכנע כי חבירה מסוימת נחוצה. צד הטוען לנימוק זה נדרש להראות</w:t>
      </w:r>
      <w:r w:rsidRPr="001040BA">
        <w:rPr>
          <w:rFonts w:ascii="Alef" w:hAnsi="Alef" w:cs="Alef" w:hint="cs"/>
          <w:rtl/>
        </w:rPr>
        <w:t xml:space="preserve"> </w:t>
      </w:r>
      <w:r w:rsidRPr="0031419B">
        <w:rPr>
          <w:rFonts w:ascii="Alef" w:hAnsi="Alef" w:cs="Alef" w:hint="cs"/>
          <w:rtl/>
        </w:rPr>
        <w:t>באיזו מידה ההגשה המשותפת מפחיתה את היקף המשאבים שאותם הוא מרתק לצורך המכרז, אילו משאבים מושקעים במכרז על ידו ואילו משאבים מושקעים על ידי המתחרה שלו וכל זאת ביחס למשאבים הפנויים העומדים לרשותו; באילו פרויקטים נוספים מתאפשרת השתתפותו כתוצאה מן החבירה המשותפת; מה הסיכוי להתקיימותם של פרויקטים נוספים שבהם יבקש אותו צד להשתתף ובאיזו מידה פיזור הסיכונים המדובר תואם את התוכנית העסקית של הארגון.</w:t>
      </w:r>
      <w:r>
        <w:rPr>
          <w:rStyle w:val="FootnoteReference"/>
          <w:rFonts w:ascii="Alef" w:hAnsi="Alef" w:cs="Alef"/>
          <w:rtl/>
        </w:rPr>
        <w:footnoteReference w:id="24"/>
      </w:r>
      <w:r w:rsidRPr="0031419B">
        <w:rPr>
          <w:rFonts w:ascii="Alef" w:hAnsi="Alef" w:cs="Alef" w:hint="cs"/>
          <w:rtl/>
        </w:rPr>
        <w:t xml:space="preserve"> </w:t>
      </w:r>
      <w:r>
        <w:rPr>
          <w:rFonts w:ascii="Alef" w:hAnsi="Alef" w:cs="Alef" w:hint="cs"/>
          <w:rtl/>
        </w:rPr>
        <w:t xml:space="preserve"> </w:t>
      </w:r>
    </w:p>
    <w:p w:rsidR="003B55CE" w:rsidRDefault="003B55CE" w:rsidP="003B55CE">
      <w:pPr>
        <w:jc w:val="both"/>
        <w:rPr>
          <w:rFonts w:ascii="Alef" w:hAnsi="Alef" w:cs="Alef"/>
          <w:rtl/>
        </w:rPr>
      </w:pPr>
      <w:r>
        <w:rPr>
          <w:rFonts w:ascii="Alef" w:hAnsi="Alef" w:cs="Alef" w:hint="cs"/>
          <w:rtl/>
        </w:rPr>
        <w:t>צדדים הטוענים כי החבירה ביניהם תייצר מתחרה חזק ומשמעותי נדרשים להראות כי הם מסוג המשתתפים אשר ניגשים למכרזים אך אינם זוכים בהם או זוכים בהם רק לעיתים נדירות, או זוכים רק בפרויקטים קטנים ושוליים; וכי החבירה ביניהם אכן תשפר את סיכוייהם לזכות במכרז שסיכוייהם לזכות בו אלמלא החבירה הם נמוכים. נימוק זה יהיה רלוונטי בעיקר במקרים בהם שני מתחרים קטנים יחסית בעלי סיכויי זכייה נמוכים יחסית חוברים ביחד על מנת לייצר חלופה חזקה יותר לגורמים שסיכוייהם לזכות במכרז גבוהים יחסית.</w:t>
      </w:r>
    </w:p>
    <w:p w:rsidR="003B55CE" w:rsidRDefault="003B55CE" w:rsidP="003B55CE">
      <w:pPr>
        <w:jc w:val="both"/>
        <w:rPr>
          <w:rFonts w:ascii="Alef" w:hAnsi="Alef" w:cs="Alef"/>
          <w:rtl/>
        </w:rPr>
      </w:pPr>
      <w:r>
        <w:rPr>
          <w:rFonts w:ascii="Alef" w:hAnsi="Alef" w:cs="Alef" w:hint="cs"/>
          <w:rtl/>
        </w:rPr>
        <w:lastRenderedPageBreak/>
        <w:t>כאמור לעיל, ש</w:t>
      </w:r>
      <w:r w:rsidRPr="0031419B">
        <w:rPr>
          <w:rFonts w:ascii="Alef" w:hAnsi="Alef" w:cs="Alef" w:hint="cs"/>
          <w:rtl/>
        </w:rPr>
        <w:t xml:space="preserve">לושת הנימוקים </w:t>
      </w:r>
      <w:r>
        <w:rPr>
          <w:rFonts w:ascii="Alef" w:hAnsi="Alef" w:cs="Alef" w:hint="cs"/>
          <w:rtl/>
        </w:rPr>
        <w:t>הללו אינם</w:t>
      </w:r>
      <w:r w:rsidRPr="0031419B">
        <w:rPr>
          <w:rFonts w:ascii="Alef" w:hAnsi="Alef" w:cs="Alef" w:hint="cs"/>
          <w:rtl/>
        </w:rPr>
        <w:t xml:space="preserve"> רשימה סגורה. ההתייחסות הספציפית אליהם נעשתה בשל השכיחות הרבה שבה הם צפים ועולים לדיון.</w:t>
      </w:r>
    </w:p>
    <w:p w:rsidR="003B55CE" w:rsidRDefault="003B55CE" w:rsidP="003B55CE">
      <w:pPr>
        <w:jc w:val="both"/>
        <w:rPr>
          <w:rFonts w:ascii="Alef" w:hAnsi="Alef" w:cs="Alef"/>
          <w:rtl/>
        </w:rPr>
      </w:pPr>
      <w:r>
        <w:rPr>
          <w:rFonts w:ascii="Alef" w:hAnsi="Alef" w:cs="Alef" w:hint="cs"/>
          <w:rtl/>
        </w:rPr>
        <w:t>שיקול נוסף שיש לקחת בחשבון בעת בחינת נחיצות החבירה למימוש עיקרה הוא עיתוי החבירה:</w:t>
      </w:r>
    </w:p>
    <w:p w:rsidR="003B55CE" w:rsidRDefault="003B55CE" w:rsidP="003B55CE">
      <w:pPr>
        <w:pStyle w:val="ListParagraph"/>
        <w:ind w:left="0"/>
        <w:jc w:val="both"/>
        <w:rPr>
          <w:rFonts w:ascii="Alef" w:hAnsi="Alef" w:cs="Alef"/>
          <w:rtl/>
        </w:rPr>
      </w:pPr>
      <w:r w:rsidRPr="00AE7DB0">
        <w:rPr>
          <w:rFonts w:ascii="Alef" w:hAnsi="Alef" w:cs="Alef" w:hint="eastAsia"/>
          <w:b/>
          <w:bCs/>
          <w:rtl/>
        </w:rPr>
        <w:t>מכרזים</w:t>
      </w:r>
      <w:r w:rsidRPr="00AE7DB0">
        <w:rPr>
          <w:rFonts w:ascii="Alef" w:hAnsi="Alef" w:cs="Alef"/>
          <w:b/>
          <w:bCs/>
          <w:rtl/>
        </w:rPr>
        <w:t xml:space="preserve"> </w:t>
      </w:r>
      <w:r w:rsidRPr="00AE7DB0">
        <w:rPr>
          <w:rFonts w:ascii="Alef" w:hAnsi="Alef" w:cs="Alef" w:hint="eastAsia"/>
          <w:b/>
          <w:bCs/>
          <w:rtl/>
        </w:rPr>
        <w:t>בהם</w:t>
      </w:r>
      <w:r w:rsidRPr="00AE7DB0">
        <w:rPr>
          <w:rFonts w:ascii="Alef" w:hAnsi="Alef" w:cs="Alef"/>
          <w:b/>
          <w:bCs/>
          <w:rtl/>
        </w:rPr>
        <w:t xml:space="preserve"> </w:t>
      </w:r>
      <w:r w:rsidRPr="00AE7DB0">
        <w:rPr>
          <w:rFonts w:ascii="Alef" w:hAnsi="Alef" w:cs="Alef" w:hint="eastAsia"/>
          <w:b/>
          <w:bCs/>
          <w:rtl/>
        </w:rPr>
        <w:t>קיים</w:t>
      </w:r>
      <w:r w:rsidRPr="00AE7DB0">
        <w:rPr>
          <w:rFonts w:ascii="Alef" w:hAnsi="Alef" w:cs="Alef"/>
          <w:b/>
          <w:bCs/>
          <w:rtl/>
        </w:rPr>
        <w:t xml:space="preserve"> </w:t>
      </w:r>
      <w:r w:rsidRPr="00AE7DB0">
        <w:rPr>
          <w:rFonts w:ascii="Alef" w:hAnsi="Alef" w:cs="Alef" w:hint="eastAsia"/>
          <w:b/>
          <w:bCs/>
          <w:rtl/>
        </w:rPr>
        <w:t>שלב</w:t>
      </w:r>
      <w:r w:rsidRPr="00AE7DB0">
        <w:rPr>
          <w:rFonts w:ascii="Alef" w:hAnsi="Alef" w:cs="Alef"/>
          <w:b/>
          <w:bCs/>
          <w:rtl/>
        </w:rPr>
        <w:t xml:space="preserve"> </w:t>
      </w:r>
      <w:r w:rsidRPr="00AE7DB0">
        <w:rPr>
          <w:rFonts w:ascii="Alef" w:hAnsi="Alef" w:cs="Alef" w:hint="eastAsia"/>
          <w:b/>
          <w:bCs/>
          <w:rtl/>
        </w:rPr>
        <w:t>מיון</w:t>
      </w:r>
      <w:r w:rsidRPr="00AE7DB0">
        <w:rPr>
          <w:rFonts w:ascii="Alef" w:hAnsi="Alef" w:cs="Alef"/>
          <w:b/>
          <w:bCs/>
          <w:rtl/>
        </w:rPr>
        <w:t xml:space="preserve"> </w:t>
      </w:r>
      <w:r w:rsidRPr="00AE7DB0">
        <w:rPr>
          <w:rFonts w:ascii="Alef" w:hAnsi="Alef" w:cs="Alef" w:hint="eastAsia"/>
          <w:b/>
          <w:bCs/>
          <w:rtl/>
        </w:rPr>
        <w:t>מוקדם</w:t>
      </w:r>
      <w:r>
        <w:rPr>
          <w:rFonts w:ascii="Alef" w:hAnsi="Alef" w:cs="Alef" w:hint="cs"/>
          <w:rtl/>
        </w:rPr>
        <w:t xml:space="preserve"> </w:t>
      </w:r>
      <w:r>
        <w:rPr>
          <w:rFonts w:ascii="Alef" w:hAnsi="Alef" w:cs="Alef"/>
          <w:rtl/>
        </w:rPr>
        <w:t>–</w:t>
      </w:r>
      <w:r>
        <w:rPr>
          <w:rFonts w:ascii="Alef" w:hAnsi="Alef" w:cs="Alef" w:hint="cs"/>
          <w:rtl/>
        </w:rPr>
        <w:t xml:space="preserve">  על מנת שהממונה תשתכנע כי חבירה בין מתחרים בטרם שלב המיון המוקדם נחוצה למימוש עיקרה, צריכה להתקיים הצדקה לחבירה דווקא בשלב המיון המוקדם. שלב המיון המוקדם אינו בהכרח שלב מתבקש ליצירת חבירה בין מתחרים. במקרים רבים תוכנו של המכרז עדיין מעורפל, לוחות הזמנים אינם וודאיים, היקפו של המכרז אינו מגובש. כל אלה מכוונים לכך שעל פי רוב, אין נחיצות בחבירת הצדדים בטרם שלב המיון המוקדם. במקרים מסוג זה, ובהנחה שמטרת החבירה אינה הפחתת מספר המתחרים במכרז </w:t>
      </w:r>
      <w:r>
        <w:rPr>
          <w:rFonts w:ascii="Alef" w:hAnsi="Alef" w:cs="Alef"/>
          <w:rtl/>
        </w:rPr>
        <w:t>–</w:t>
      </w:r>
      <w:r>
        <w:rPr>
          <w:rFonts w:ascii="Alef" w:hAnsi="Alef" w:cs="Alef" w:hint="cs"/>
          <w:rtl/>
        </w:rPr>
        <w:t xml:space="preserve"> מטרה שאינה לגיטימית </w:t>
      </w:r>
      <w:r>
        <w:rPr>
          <w:rFonts w:ascii="Alef" w:hAnsi="Alef" w:cs="Alef"/>
          <w:rtl/>
        </w:rPr>
        <w:t>–</w:t>
      </w:r>
      <w:r>
        <w:rPr>
          <w:rFonts w:ascii="Alef" w:hAnsi="Alef" w:cs="Alef" w:hint="cs"/>
          <w:rtl/>
        </w:rPr>
        <w:t xml:space="preserve">צריכה להיות הנמקה טובה מדוע חשוב לצדדים לייצר את החבירה ביניהם דווקא בשלב המיון המוקדם ולא להמתין ולראות את התגבשות המכרז ותנאיו לצורך יצירת החבירה. לפיכך, הצדדים צריכים שיהיה להם הסבר ליתרונות שינבעו מחבירה ביניהם דווקא בשלב המיון המוקדם. בהיעדר הצדקה ספציפית לנחיצות החבירה בין מתחרים בשלב המיון המוקדם דווקא, לא </w:t>
      </w:r>
      <w:r>
        <w:rPr>
          <w:rFonts w:ascii="Alef" w:hAnsi="Alef" w:cs="Alef" w:hint="cs"/>
          <w:rtl/>
        </w:rPr>
        <w:lastRenderedPageBreak/>
        <w:t xml:space="preserve">ניתן יהיה לטעון כי החבירה טרם שלב המיון המוקדם נחוצה למימוש עיקרה. </w:t>
      </w:r>
    </w:p>
    <w:p w:rsidR="003B55CE" w:rsidRDefault="003B55CE" w:rsidP="003B55CE">
      <w:pPr>
        <w:pStyle w:val="ListParagraph"/>
        <w:bidi w:val="0"/>
        <w:jc w:val="both"/>
        <w:rPr>
          <w:rFonts w:ascii="Alef" w:hAnsi="Alef" w:cs="Alef"/>
          <w:rtl/>
        </w:rPr>
      </w:pPr>
    </w:p>
    <w:p w:rsidR="003B55CE" w:rsidRPr="002C67DE" w:rsidRDefault="003B55CE" w:rsidP="003B55CE">
      <w:pPr>
        <w:pStyle w:val="ListParagraph"/>
        <w:ind w:left="0"/>
        <w:jc w:val="both"/>
        <w:rPr>
          <w:rFonts w:ascii="Alef" w:hAnsi="Alef" w:cs="Alef"/>
          <w:rtl/>
        </w:rPr>
      </w:pPr>
      <w:r w:rsidRPr="002C67DE">
        <w:rPr>
          <w:rFonts w:ascii="Alef" w:hAnsi="Alef" w:cs="Alef" w:hint="cs"/>
          <w:rtl/>
        </w:rPr>
        <w:t xml:space="preserve">בדיקות שערכה רשות התחרות מלמדות כי במקרים רבים שלב המיון המוקדם אינו מחייב השקעת משאבים רבה. להיפך, לעיתים קרובות על מנת לעמוד בדרישת המיון המוקדם יש להגיש מסמכים בסיסיים בלבד שאינם מחייבים השקעת משאבים או הכנות מוקדמות ארוכות. יתכנו כמובן מצבים אחרים שבהם שלב המיון המוקדם מחייב השקעת משאבים מרובה ולפיכך החבירה עשויה לצמצם את המשאבים המושקעים בתנאי אי וודאות. אך אלה ככל הנראה מצבים שאינם שכיחים. גם מיעוט המשאבים הנדרשים לצורך הגשת הצעה בשלב המיון המוקדם מטה את הכף לדחיית החבירה בין מתחרים לשלב שבו יתגבש תוכנו של המכרז, יתגבשו לוחות הזמנים, תגבר הוודאות ויידרשו עיקר משאבי הכנת ההצעה. </w:t>
      </w:r>
    </w:p>
    <w:p w:rsidR="003B55CE" w:rsidRDefault="003B55CE" w:rsidP="003B55CE">
      <w:pPr>
        <w:pStyle w:val="ListParagraph"/>
        <w:bidi w:val="0"/>
        <w:rPr>
          <w:rFonts w:ascii="Alef" w:hAnsi="Alef" w:cs="Alef"/>
          <w:rtl/>
        </w:rPr>
      </w:pPr>
    </w:p>
    <w:p w:rsidR="003B55CE" w:rsidRPr="00E950A2" w:rsidRDefault="003B55CE" w:rsidP="00E950A2">
      <w:pPr>
        <w:pStyle w:val="ListParagraph"/>
        <w:ind w:left="0"/>
        <w:jc w:val="both"/>
        <w:rPr>
          <w:rFonts w:ascii="Alef" w:hAnsi="Alef" w:cs="Alef"/>
          <w:rtl/>
        </w:rPr>
      </w:pPr>
      <w:r w:rsidRPr="00AE7DB0">
        <w:rPr>
          <w:rFonts w:ascii="Alef" w:hAnsi="Alef" w:cs="Alef" w:hint="eastAsia"/>
          <w:b/>
          <w:bCs/>
          <w:rtl/>
        </w:rPr>
        <w:t>במכרזים</w:t>
      </w:r>
      <w:r w:rsidRPr="00AE7DB0">
        <w:rPr>
          <w:rFonts w:ascii="Alef" w:hAnsi="Alef" w:cs="Alef"/>
          <w:b/>
          <w:bCs/>
          <w:rtl/>
        </w:rPr>
        <w:t xml:space="preserve"> </w:t>
      </w:r>
      <w:r w:rsidRPr="00AE7DB0">
        <w:rPr>
          <w:rFonts w:ascii="Alef" w:hAnsi="Alef" w:cs="Alef" w:hint="eastAsia"/>
          <w:b/>
          <w:bCs/>
          <w:rtl/>
        </w:rPr>
        <w:t>בהם</w:t>
      </w:r>
      <w:r w:rsidRPr="00AE7DB0">
        <w:rPr>
          <w:rFonts w:ascii="Alef" w:hAnsi="Alef" w:cs="Alef"/>
          <w:b/>
          <w:bCs/>
          <w:rtl/>
        </w:rPr>
        <w:t xml:space="preserve"> </w:t>
      </w:r>
      <w:r w:rsidRPr="00AE7DB0">
        <w:rPr>
          <w:rFonts w:ascii="Alef" w:hAnsi="Alef" w:cs="Alef" w:hint="eastAsia"/>
          <w:b/>
          <w:bCs/>
          <w:rtl/>
        </w:rPr>
        <w:t>לא</w:t>
      </w:r>
      <w:r w:rsidRPr="00AE7DB0">
        <w:rPr>
          <w:rFonts w:ascii="Alef" w:hAnsi="Alef" w:cs="Alef"/>
          <w:b/>
          <w:bCs/>
          <w:rtl/>
        </w:rPr>
        <w:t xml:space="preserve"> </w:t>
      </w:r>
      <w:r w:rsidRPr="00AE7DB0">
        <w:rPr>
          <w:rFonts w:ascii="Alef" w:hAnsi="Alef" w:cs="Alef" w:hint="eastAsia"/>
          <w:b/>
          <w:bCs/>
          <w:rtl/>
        </w:rPr>
        <w:t>קיים</w:t>
      </w:r>
      <w:r w:rsidRPr="00AE7DB0">
        <w:rPr>
          <w:rFonts w:ascii="Alef" w:hAnsi="Alef" w:cs="Alef"/>
          <w:b/>
          <w:bCs/>
          <w:rtl/>
        </w:rPr>
        <w:t xml:space="preserve"> </w:t>
      </w:r>
      <w:r w:rsidRPr="00AE7DB0">
        <w:rPr>
          <w:rFonts w:ascii="Alef" w:hAnsi="Alef" w:cs="Alef" w:hint="eastAsia"/>
          <w:b/>
          <w:bCs/>
          <w:rtl/>
        </w:rPr>
        <w:t>שלב</w:t>
      </w:r>
      <w:r w:rsidRPr="00AE7DB0">
        <w:rPr>
          <w:rFonts w:ascii="Alef" w:hAnsi="Alef" w:cs="Alef"/>
          <w:b/>
          <w:bCs/>
          <w:rtl/>
        </w:rPr>
        <w:t xml:space="preserve"> </w:t>
      </w:r>
      <w:r w:rsidRPr="00AE7DB0">
        <w:rPr>
          <w:rFonts w:ascii="Alef" w:hAnsi="Alef" w:cs="Alef" w:hint="eastAsia"/>
          <w:b/>
          <w:bCs/>
          <w:rtl/>
        </w:rPr>
        <w:t>מיון</w:t>
      </w:r>
      <w:r w:rsidRPr="00AE7DB0">
        <w:rPr>
          <w:rFonts w:ascii="Alef" w:hAnsi="Alef" w:cs="Alef"/>
          <w:b/>
          <w:bCs/>
          <w:rtl/>
        </w:rPr>
        <w:t xml:space="preserve"> </w:t>
      </w:r>
      <w:r w:rsidRPr="00AE7DB0">
        <w:rPr>
          <w:rFonts w:ascii="Alef" w:hAnsi="Alef" w:cs="Alef" w:hint="eastAsia"/>
          <w:b/>
          <w:bCs/>
          <w:rtl/>
        </w:rPr>
        <w:t>מוקדם</w:t>
      </w:r>
      <w:r>
        <w:rPr>
          <w:rFonts w:ascii="Alef" w:hAnsi="Alef" w:cs="Alef" w:hint="cs"/>
          <w:rtl/>
        </w:rPr>
        <w:t xml:space="preserve"> </w:t>
      </w:r>
      <w:r>
        <w:rPr>
          <w:rFonts w:ascii="Alef" w:hAnsi="Alef" w:cs="Alef"/>
          <w:rtl/>
        </w:rPr>
        <w:t>–</w:t>
      </w:r>
      <w:r>
        <w:rPr>
          <w:rFonts w:ascii="Alef" w:hAnsi="Alef" w:cs="Alef" w:hint="cs"/>
          <w:rtl/>
        </w:rPr>
        <w:t xml:space="preserve"> גם במכרזים אלה צדדים נדרשים להראות מדוע החבירה ביניהם נחוצה בטרם שלב הגשת ההצעות במכרז על מנת שהחבירה תיחשב כנחוצה למימוש עיקרה. ככל שניתן להפיק את </w:t>
      </w:r>
      <w:proofErr w:type="spellStart"/>
      <w:r>
        <w:rPr>
          <w:rFonts w:ascii="Alef" w:hAnsi="Alef" w:cs="Alef" w:hint="cs"/>
          <w:rtl/>
        </w:rPr>
        <w:t>היעילויות</w:t>
      </w:r>
      <w:proofErr w:type="spellEnd"/>
      <w:r>
        <w:rPr>
          <w:rFonts w:ascii="Alef" w:hAnsi="Alef" w:cs="Alef" w:hint="cs"/>
          <w:rtl/>
        </w:rPr>
        <w:t xml:space="preserve"> מהחבירה לאחר בחירתו </w:t>
      </w:r>
      <w:r>
        <w:rPr>
          <w:rFonts w:ascii="Alef" w:hAnsi="Alef" w:cs="Alef" w:hint="cs"/>
          <w:rtl/>
        </w:rPr>
        <w:lastRenderedPageBreak/>
        <w:t>של זוכה, הרי שהחבירה אינה נחוצה באותה עת. כך, במקרים רבים ניתן להשיג את המטרה העיקרית ש</w:t>
      </w:r>
      <w:r w:rsidR="00E950A2">
        <w:rPr>
          <w:rFonts w:ascii="Alef" w:hAnsi="Alef" w:cs="Alef" w:hint="cs"/>
          <w:rtl/>
        </w:rPr>
        <w:t>בחבירה באמצעות הסדר קבלנות משנה</w:t>
      </w:r>
      <w:r>
        <w:rPr>
          <w:rFonts w:ascii="Alef" w:hAnsi="Alef" w:cs="Alef" w:hint="cs"/>
          <w:rtl/>
        </w:rPr>
        <w:t xml:space="preserve"> שבו יתקשר הזוכה במכרז עם חברה שלא זכתה במכרז לאחר הכרזה על הזוכה. ככלל, הסדר כזה חוסך פגיעה תחרותית בהליך </w:t>
      </w:r>
      <w:proofErr w:type="spellStart"/>
      <w:r>
        <w:rPr>
          <w:rFonts w:ascii="Alef" w:hAnsi="Alef" w:cs="Alef" w:hint="cs"/>
          <w:rtl/>
        </w:rPr>
        <w:t>המכרזי</w:t>
      </w:r>
      <w:proofErr w:type="spellEnd"/>
      <w:r>
        <w:rPr>
          <w:rFonts w:ascii="Alef" w:hAnsi="Alef" w:cs="Alef" w:hint="cs"/>
          <w:rtl/>
        </w:rPr>
        <w:t xml:space="preserve"> עצמו, שכן הוא משמר את המתח התחרותי במכרז ואת התמריצים של כל המשתתפים להשתתף בו. כמובן, כי אם שני מתחרים מסכמים ביניהם עוד קודם להכרזת הזוכה במכרז על הסדר קבלנות משנה לאחריו, הרי שיש לראות בכך כהסדר כובל שאסור ללא קבלת פטור או אישור ממערך ההגבלים העסקיים. </w:t>
      </w:r>
    </w:p>
    <w:p w:rsidR="003B55CE" w:rsidRDefault="003B55CE" w:rsidP="003B55CE">
      <w:pPr>
        <w:pStyle w:val="ListParagraph"/>
        <w:jc w:val="both"/>
        <w:rPr>
          <w:rFonts w:ascii="Alef" w:hAnsi="Alef" w:cs="Alef"/>
          <w:rtl/>
        </w:rPr>
      </w:pPr>
    </w:p>
    <w:p w:rsidR="00024713" w:rsidRPr="00024713" w:rsidRDefault="003B55CE" w:rsidP="00024713">
      <w:pPr>
        <w:pStyle w:val="ListParagraph"/>
        <w:numPr>
          <w:ilvl w:val="0"/>
          <w:numId w:val="12"/>
        </w:numPr>
        <w:spacing w:after="160" w:line="259" w:lineRule="auto"/>
        <w:ind w:left="360"/>
        <w:contextualSpacing w:val="0"/>
        <w:rPr>
          <w:rFonts w:ascii="Alef" w:hAnsi="Alef" w:cs="Alef"/>
          <w:u w:val="single"/>
          <w:rtl/>
        </w:rPr>
      </w:pPr>
      <w:r w:rsidRPr="00AE7DB0">
        <w:rPr>
          <w:rFonts w:ascii="Alef" w:hAnsi="Alef" w:cs="Alef" w:hint="eastAsia"/>
          <w:u w:val="single"/>
          <w:rtl/>
        </w:rPr>
        <w:t>האם</w:t>
      </w:r>
      <w:r w:rsidRPr="00AE7DB0">
        <w:rPr>
          <w:rFonts w:ascii="Alef" w:hAnsi="Alef" w:cs="Alef"/>
          <w:u w:val="single"/>
          <w:rtl/>
        </w:rPr>
        <w:t xml:space="preserve"> </w:t>
      </w:r>
      <w:r w:rsidRPr="00AE7DB0">
        <w:rPr>
          <w:rFonts w:ascii="Alef" w:hAnsi="Alef" w:cs="Alef" w:hint="eastAsia"/>
          <w:u w:val="single"/>
          <w:rtl/>
        </w:rPr>
        <w:t>ניתן</w:t>
      </w:r>
      <w:r w:rsidRPr="00AE7DB0">
        <w:rPr>
          <w:rFonts w:ascii="Alef" w:hAnsi="Alef" w:cs="Alef"/>
          <w:u w:val="single"/>
          <w:rtl/>
        </w:rPr>
        <w:t xml:space="preserve"> </w:t>
      </w:r>
      <w:r w:rsidRPr="00AE7DB0">
        <w:rPr>
          <w:rFonts w:ascii="Alef" w:hAnsi="Alef" w:cs="Alef" w:hint="eastAsia"/>
          <w:u w:val="single"/>
          <w:rtl/>
        </w:rPr>
        <w:t>להשיג</w:t>
      </w:r>
      <w:r w:rsidRPr="00AE7DB0">
        <w:rPr>
          <w:rFonts w:ascii="Alef" w:hAnsi="Alef" w:cs="Alef"/>
          <w:u w:val="single"/>
          <w:rtl/>
        </w:rPr>
        <w:t xml:space="preserve"> </w:t>
      </w:r>
      <w:r w:rsidRPr="00AE7DB0">
        <w:rPr>
          <w:rFonts w:ascii="Alef" w:hAnsi="Alef" w:cs="Alef" w:hint="eastAsia"/>
          <w:u w:val="single"/>
          <w:rtl/>
        </w:rPr>
        <w:t>את</w:t>
      </w:r>
      <w:r w:rsidRPr="00AE7DB0">
        <w:rPr>
          <w:rFonts w:ascii="Alef" w:hAnsi="Alef" w:cs="Alef"/>
          <w:u w:val="single"/>
          <w:rtl/>
        </w:rPr>
        <w:t xml:space="preserve"> </w:t>
      </w:r>
      <w:r>
        <w:rPr>
          <w:rFonts w:ascii="Alef" w:hAnsi="Alef" w:cs="Alef" w:hint="cs"/>
          <w:u w:val="single"/>
          <w:rtl/>
        </w:rPr>
        <w:t>תכלית החבירה</w:t>
      </w:r>
      <w:r w:rsidRPr="00AE7DB0">
        <w:rPr>
          <w:rFonts w:ascii="Alef" w:hAnsi="Alef" w:cs="Alef"/>
          <w:u w:val="single"/>
          <w:rtl/>
        </w:rPr>
        <w:t xml:space="preserve"> </w:t>
      </w:r>
      <w:r w:rsidRPr="00AE7DB0">
        <w:rPr>
          <w:rFonts w:ascii="Alef" w:hAnsi="Alef" w:cs="Alef" w:hint="eastAsia"/>
          <w:u w:val="single"/>
          <w:rtl/>
        </w:rPr>
        <w:t>בצורה</w:t>
      </w:r>
      <w:r w:rsidRPr="00AE7DB0">
        <w:rPr>
          <w:rFonts w:ascii="Alef" w:hAnsi="Alef" w:cs="Alef"/>
          <w:u w:val="single"/>
          <w:rtl/>
        </w:rPr>
        <w:t xml:space="preserve"> </w:t>
      </w:r>
      <w:r w:rsidRPr="00AE7DB0">
        <w:rPr>
          <w:rFonts w:ascii="Alef" w:hAnsi="Alef" w:cs="Alef" w:hint="eastAsia"/>
          <w:u w:val="single"/>
          <w:rtl/>
        </w:rPr>
        <w:t>שפוגעת</w:t>
      </w:r>
      <w:r w:rsidRPr="00AE7DB0">
        <w:rPr>
          <w:rFonts w:ascii="Alef" w:hAnsi="Alef" w:cs="Alef"/>
          <w:u w:val="single"/>
          <w:rtl/>
        </w:rPr>
        <w:t xml:space="preserve"> </w:t>
      </w:r>
      <w:r w:rsidRPr="00AE7DB0">
        <w:rPr>
          <w:rFonts w:ascii="Alef" w:hAnsi="Alef" w:cs="Alef" w:hint="eastAsia"/>
          <w:u w:val="single"/>
          <w:rtl/>
        </w:rPr>
        <w:t>פחות</w:t>
      </w:r>
      <w:r w:rsidRPr="00AE7DB0">
        <w:rPr>
          <w:rFonts w:ascii="Alef" w:hAnsi="Alef" w:cs="Alef"/>
          <w:u w:val="single"/>
          <w:rtl/>
        </w:rPr>
        <w:t xml:space="preserve"> </w:t>
      </w:r>
      <w:r w:rsidRPr="00AE7DB0">
        <w:rPr>
          <w:rFonts w:ascii="Alef" w:hAnsi="Alef" w:cs="Alef" w:hint="eastAsia"/>
          <w:u w:val="single"/>
          <w:rtl/>
        </w:rPr>
        <w:t>בתחרות</w:t>
      </w:r>
    </w:p>
    <w:p w:rsidR="003B55CE" w:rsidRPr="00AE7DB0" w:rsidRDefault="003B55CE" w:rsidP="00024713">
      <w:pPr>
        <w:pStyle w:val="ListParagraph"/>
        <w:ind w:left="0"/>
        <w:contextualSpacing w:val="0"/>
        <w:jc w:val="both"/>
        <w:rPr>
          <w:rFonts w:ascii="Alef" w:hAnsi="Alef" w:cs="Alef"/>
          <w:rtl/>
        </w:rPr>
      </w:pPr>
      <w:r w:rsidRPr="00AE7DB0">
        <w:rPr>
          <w:rFonts w:ascii="Alef" w:hAnsi="Alef" w:cs="Alef" w:hint="eastAsia"/>
          <w:rtl/>
        </w:rPr>
        <w:t>גם</w:t>
      </w:r>
      <w:r w:rsidRPr="00AE7DB0">
        <w:rPr>
          <w:rFonts w:ascii="Alef" w:hAnsi="Alef" w:cs="Alef"/>
          <w:rtl/>
        </w:rPr>
        <w:t xml:space="preserve"> </w:t>
      </w:r>
      <w:r w:rsidRPr="00AE7DB0">
        <w:rPr>
          <w:rFonts w:ascii="Alef" w:hAnsi="Alef" w:cs="Alef" w:hint="eastAsia"/>
          <w:rtl/>
        </w:rPr>
        <w:t>במקרים</w:t>
      </w:r>
      <w:r w:rsidRPr="00AE7DB0">
        <w:rPr>
          <w:rFonts w:ascii="Alef" w:hAnsi="Alef" w:cs="Alef"/>
          <w:rtl/>
        </w:rPr>
        <w:t xml:space="preserve"> </w:t>
      </w:r>
      <w:r w:rsidRPr="00AE7DB0">
        <w:rPr>
          <w:rFonts w:ascii="Alef" w:hAnsi="Alef" w:cs="Alef" w:hint="eastAsia"/>
          <w:rtl/>
        </w:rPr>
        <w:t>בהם</w:t>
      </w:r>
      <w:r w:rsidRPr="00AE7DB0">
        <w:rPr>
          <w:rFonts w:ascii="Alef" w:hAnsi="Alef" w:cs="Alef"/>
          <w:rtl/>
        </w:rPr>
        <w:t xml:space="preserve"> </w:t>
      </w:r>
      <w:r w:rsidRPr="00AE7DB0">
        <w:rPr>
          <w:rFonts w:ascii="Alef" w:hAnsi="Alef" w:cs="Alef" w:hint="eastAsia"/>
          <w:rtl/>
        </w:rPr>
        <w:t>קיימת</w:t>
      </w:r>
      <w:r w:rsidRPr="00AE7DB0">
        <w:rPr>
          <w:rFonts w:ascii="Alef" w:hAnsi="Alef" w:cs="Alef"/>
          <w:rtl/>
        </w:rPr>
        <w:t xml:space="preserve"> </w:t>
      </w:r>
      <w:r w:rsidRPr="00AE7DB0">
        <w:rPr>
          <w:rFonts w:ascii="Alef" w:hAnsi="Alef" w:cs="Alef" w:hint="eastAsia"/>
          <w:rtl/>
        </w:rPr>
        <w:t>הצדקה</w:t>
      </w:r>
      <w:r w:rsidRPr="00AE7DB0">
        <w:rPr>
          <w:rFonts w:ascii="Alef" w:hAnsi="Alef" w:cs="Alef"/>
          <w:rtl/>
        </w:rPr>
        <w:t xml:space="preserve"> </w:t>
      </w:r>
      <w:r w:rsidRPr="00AE7DB0">
        <w:rPr>
          <w:rFonts w:ascii="Alef" w:hAnsi="Alef" w:cs="Alef" w:hint="eastAsia"/>
          <w:rtl/>
        </w:rPr>
        <w:t>לחבירה</w:t>
      </w:r>
      <w:r w:rsidRPr="00AE7DB0">
        <w:rPr>
          <w:rFonts w:ascii="Alef" w:hAnsi="Alef" w:cs="Alef"/>
          <w:rtl/>
        </w:rPr>
        <w:t xml:space="preserve"> בין מתחרים </w:t>
      </w:r>
      <w:r>
        <w:rPr>
          <w:rFonts w:ascii="Alef" w:hAnsi="Alef" w:cs="Alef" w:hint="cs"/>
          <w:rtl/>
        </w:rPr>
        <w:t>לצורך הגשת הצעה במכרז</w:t>
      </w:r>
      <w:r w:rsidRPr="00AE7DB0">
        <w:rPr>
          <w:rFonts w:ascii="Alef" w:hAnsi="Alef" w:cs="Alef"/>
          <w:rtl/>
        </w:rPr>
        <w:t xml:space="preserve">, </w:t>
      </w:r>
      <w:r w:rsidRPr="00AE7DB0">
        <w:rPr>
          <w:rFonts w:ascii="Alef" w:hAnsi="Alef" w:cs="Alef" w:hint="eastAsia"/>
          <w:rtl/>
        </w:rPr>
        <w:t>על</w:t>
      </w:r>
      <w:r w:rsidRPr="00AE7DB0">
        <w:rPr>
          <w:rFonts w:ascii="Alef" w:hAnsi="Alef" w:cs="Alef"/>
          <w:rtl/>
        </w:rPr>
        <w:t xml:space="preserve"> הצדדים ל</w:t>
      </w:r>
      <w:r>
        <w:rPr>
          <w:rFonts w:ascii="Alef" w:hAnsi="Alef" w:cs="Alef" w:hint="cs"/>
          <w:rtl/>
        </w:rPr>
        <w:t>שכנע</w:t>
      </w:r>
      <w:r w:rsidRPr="00AE7DB0">
        <w:rPr>
          <w:rFonts w:ascii="Alef" w:hAnsi="Alef" w:cs="Alef"/>
          <w:rtl/>
        </w:rPr>
        <w:t xml:space="preserve"> כי לא ניתן להשיג את התועלות הטמונות בחבירה בכלים אחרים שיש </w:t>
      </w:r>
      <w:proofErr w:type="spellStart"/>
      <w:r w:rsidRPr="00AE7DB0">
        <w:rPr>
          <w:rFonts w:ascii="Alef" w:hAnsi="Alef" w:cs="Alef" w:hint="eastAsia"/>
          <w:rtl/>
        </w:rPr>
        <w:t>בצידם</w:t>
      </w:r>
      <w:proofErr w:type="spellEnd"/>
      <w:r w:rsidRPr="00AE7DB0">
        <w:rPr>
          <w:rFonts w:ascii="Alef" w:hAnsi="Alef" w:cs="Alef"/>
          <w:rtl/>
        </w:rPr>
        <w:t xml:space="preserve"> פגיעה </w:t>
      </w:r>
      <w:r>
        <w:rPr>
          <w:rFonts w:ascii="Alef" w:hAnsi="Alef" w:cs="Alef" w:hint="cs"/>
          <w:rtl/>
        </w:rPr>
        <w:t xml:space="preserve">פחותה </w:t>
      </w:r>
      <w:r w:rsidRPr="00AE7DB0">
        <w:rPr>
          <w:rFonts w:ascii="Alef" w:hAnsi="Alef" w:cs="Alef"/>
          <w:rtl/>
        </w:rPr>
        <w:t>בתחרות. כך לעיתים חבירה בין מתחרים</w:t>
      </w:r>
      <w:r>
        <w:rPr>
          <w:rFonts w:ascii="Alef" w:hAnsi="Alef" w:cs="Alef" w:hint="cs"/>
          <w:rtl/>
        </w:rPr>
        <w:t xml:space="preserve"> </w:t>
      </w:r>
      <w:r w:rsidRPr="006C0398">
        <w:rPr>
          <w:rFonts w:ascii="Alef" w:hAnsi="Alef" w:cs="Alef"/>
          <w:rtl/>
        </w:rPr>
        <w:t xml:space="preserve">מאפשרת להם להשתתף ביותר מכרזים וביותר </w:t>
      </w:r>
      <w:r>
        <w:rPr>
          <w:rFonts w:ascii="Alef" w:hAnsi="Alef" w:cs="Alef" w:hint="eastAsia"/>
          <w:rtl/>
        </w:rPr>
        <w:t>פרוי</w:t>
      </w:r>
      <w:r w:rsidRPr="006C0398">
        <w:rPr>
          <w:rFonts w:ascii="Alef" w:hAnsi="Alef" w:cs="Alef" w:hint="eastAsia"/>
          <w:rtl/>
        </w:rPr>
        <w:t>קטים</w:t>
      </w:r>
      <w:r w:rsidRPr="00AE7DB0">
        <w:rPr>
          <w:rFonts w:ascii="Alef" w:hAnsi="Alef" w:cs="Alef"/>
          <w:rtl/>
        </w:rPr>
        <w:t xml:space="preserve"> </w:t>
      </w:r>
      <w:r>
        <w:rPr>
          <w:rFonts w:ascii="Alef" w:hAnsi="Alef" w:cs="Alef" w:hint="cs"/>
          <w:rtl/>
        </w:rPr>
        <w:t xml:space="preserve">ולפיכך </w:t>
      </w:r>
      <w:r w:rsidRPr="00AE7DB0">
        <w:rPr>
          <w:rFonts w:ascii="Alef" w:hAnsi="Alef" w:cs="Alef"/>
          <w:rtl/>
        </w:rPr>
        <w:t>עשויה ליצור עבורם חל</w:t>
      </w:r>
      <w:r>
        <w:rPr>
          <w:rFonts w:ascii="Alef" w:hAnsi="Alef" w:cs="Alef"/>
          <w:rtl/>
        </w:rPr>
        <w:t>וקה נכונה וטובה יותר של סיכונים</w:t>
      </w:r>
      <w:r w:rsidRPr="00AE7DB0">
        <w:rPr>
          <w:rFonts w:ascii="Alef" w:hAnsi="Alef" w:cs="Alef"/>
          <w:rtl/>
        </w:rPr>
        <w:t xml:space="preserve">. </w:t>
      </w:r>
      <w:r w:rsidRPr="00AE7DB0">
        <w:rPr>
          <w:rFonts w:ascii="Alef" w:hAnsi="Alef" w:cs="Alef" w:hint="eastAsia"/>
          <w:rtl/>
        </w:rPr>
        <w:t>כאמור</w:t>
      </w:r>
      <w:r w:rsidRPr="00AE7DB0">
        <w:rPr>
          <w:rFonts w:ascii="Alef" w:hAnsi="Alef" w:cs="Alef"/>
          <w:rtl/>
        </w:rPr>
        <w:t xml:space="preserve">, שיקול זה, ככל שהוא מחייב חבירה </w:t>
      </w:r>
      <w:r>
        <w:rPr>
          <w:rFonts w:ascii="Alef" w:hAnsi="Alef" w:cs="Alef" w:hint="cs"/>
          <w:rtl/>
        </w:rPr>
        <w:t>לצורך הגשת הצעה במכרז</w:t>
      </w:r>
      <w:r w:rsidRPr="00AE7DB0">
        <w:rPr>
          <w:rFonts w:ascii="Alef" w:hAnsi="Alef" w:cs="Alef"/>
          <w:rtl/>
        </w:rPr>
        <w:t xml:space="preserve"> ייחשב כשיקול </w:t>
      </w:r>
      <w:r w:rsidRPr="00AE7DB0">
        <w:rPr>
          <w:rFonts w:ascii="Alef" w:hAnsi="Alef" w:cs="Alef"/>
          <w:rtl/>
        </w:rPr>
        <w:lastRenderedPageBreak/>
        <w:t>לגיטימי. עם זאת</w:t>
      </w:r>
      <w:r>
        <w:rPr>
          <w:rFonts w:ascii="Alef" w:hAnsi="Alef" w:cs="Alef" w:hint="cs"/>
          <w:rtl/>
        </w:rPr>
        <w:t>,</w:t>
      </w:r>
      <w:r w:rsidRPr="00AE7DB0">
        <w:rPr>
          <w:rFonts w:ascii="Alef" w:hAnsi="Alef" w:cs="Alef"/>
          <w:rtl/>
        </w:rPr>
        <w:t xml:space="preserve"> גם שיקול זה לא יצדיק חבירה בין שני מתחרים בעלי יכולת ייחודית </w:t>
      </w:r>
      <w:r>
        <w:rPr>
          <w:rFonts w:ascii="Alef" w:hAnsi="Alef" w:cs="Alef" w:hint="cs"/>
          <w:rtl/>
        </w:rPr>
        <w:t xml:space="preserve">זהה </w:t>
      </w:r>
      <w:r w:rsidRPr="00AE7DB0">
        <w:rPr>
          <w:rFonts w:ascii="Alef" w:hAnsi="Alef" w:cs="Alef"/>
          <w:rtl/>
        </w:rPr>
        <w:t xml:space="preserve">הנחוצה למכרז. זאת משום שכל אחד </w:t>
      </w:r>
      <w:proofErr w:type="spellStart"/>
      <w:r w:rsidRPr="00AE7DB0">
        <w:rPr>
          <w:rFonts w:ascii="Alef" w:hAnsi="Alef" w:cs="Alef" w:hint="eastAsia"/>
          <w:rtl/>
        </w:rPr>
        <w:t>מהחוברים</w:t>
      </w:r>
      <w:proofErr w:type="spellEnd"/>
      <w:r w:rsidRPr="00AE7DB0">
        <w:rPr>
          <w:rFonts w:ascii="Alef" w:hAnsi="Alef" w:cs="Alef"/>
          <w:rtl/>
        </w:rPr>
        <w:t xml:space="preserve"> יכול היה להשיג את פיזור הסיכונים באמצעות חבירה למתחרה שאינו אוחז ביכולת הייחודית שלו.</w:t>
      </w:r>
    </w:p>
    <w:p w:rsidR="003B55CE" w:rsidRPr="00AE7DB0" w:rsidRDefault="003B55CE" w:rsidP="00E950A2">
      <w:pPr>
        <w:pStyle w:val="ListParagraph"/>
        <w:ind w:left="0"/>
        <w:jc w:val="both"/>
        <w:rPr>
          <w:rFonts w:ascii="Alef" w:hAnsi="Alef" w:cs="Alef"/>
          <w:rtl/>
        </w:rPr>
      </w:pPr>
      <w:r w:rsidRPr="00AE7DB0">
        <w:rPr>
          <w:rFonts w:ascii="Alef" w:hAnsi="Alef" w:cs="Alef" w:hint="eastAsia"/>
          <w:rtl/>
        </w:rPr>
        <w:t>הוא</w:t>
      </w:r>
      <w:r w:rsidRPr="00AE7DB0">
        <w:rPr>
          <w:rFonts w:ascii="Alef" w:hAnsi="Alef" w:cs="Alef"/>
          <w:rtl/>
        </w:rPr>
        <w:t xml:space="preserve"> הדין באשר למספר הגורמים החוברים ביחד לצורך הגשת </w:t>
      </w:r>
      <w:r>
        <w:rPr>
          <w:rFonts w:ascii="Alef" w:hAnsi="Alef" w:cs="Alef" w:hint="cs"/>
          <w:rtl/>
        </w:rPr>
        <w:t>ה</w:t>
      </w:r>
      <w:r w:rsidRPr="00AE7DB0">
        <w:rPr>
          <w:rFonts w:ascii="Alef" w:hAnsi="Alef" w:cs="Alef"/>
          <w:rtl/>
        </w:rPr>
        <w:t>הצעה</w:t>
      </w:r>
      <w:r>
        <w:rPr>
          <w:rFonts w:ascii="Alef" w:hAnsi="Alef" w:cs="Alef" w:hint="cs"/>
          <w:rtl/>
        </w:rPr>
        <w:t xml:space="preserve"> המשותפת</w:t>
      </w:r>
      <w:r w:rsidRPr="00AE7DB0">
        <w:rPr>
          <w:rFonts w:ascii="Alef" w:hAnsi="Alef" w:cs="Alef"/>
          <w:rtl/>
        </w:rPr>
        <w:t xml:space="preserve">. גם אם חבירה של </w:t>
      </w:r>
      <w:r>
        <w:rPr>
          <w:rFonts w:ascii="Alef" w:hAnsi="Alef" w:cs="Alef"/>
          <w:rtl/>
        </w:rPr>
        <w:t>מספר גורמים יוצרת עבורם יתרונות</w:t>
      </w:r>
      <w:r w:rsidRPr="00AE7DB0">
        <w:rPr>
          <w:rFonts w:ascii="Alef" w:hAnsi="Alef" w:cs="Alef"/>
          <w:rtl/>
        </w:rPr>
        <w:t xml:space="preserve"> באופן המאפשר להם להציע הצעה טובה יותר, נכון יהיה לבחון מהו המספר המינימאלי של מתחרים שבאמצעותו מושג</w:t>
      </w:r>
      <w:r>
        <w:rPr>
          <w:rFonts w:ascii="Alef" w:hAnsi="Alef" w:cs="Alef" w:hint="cs"/>
          <w:rtl/>
        </w:rPr>
        <w:t>ים היתרונות הללו</w:t>
      </w:r>
      <w:r w:rsidRPr="00AE7DB0">
        <w:rPr>
          <w:rFonts w:ascii="Alef" w:hAnsi="Alef" w:cs="Alef"/>
          <w:rtl/>
        </w:rPr>
        <w:t xml:space="preserve">. </w:t>
      </w:r>
    </w:p>
    <w:p w:rsidR="003B55CE" w:rsidRPr="00AE7DB0" w:rsidRDefault="003B55CE" w:rsidP="00E950A2">
      <w:pPr>
        <w:pStyle w:val="ListParagraph"/>
        <w:ind w:left="0"/>
        <w:jc w:val="both"/>
        <w:rPr>
          <w:rFonts w:ascii="Alef" w:hAnsi="Alef" w:cs="Alef"/>
          <w:rtl/>
        </w:rPr>
      </w:pPr>
    </w:p>
    <w:p w:rsidR="003B55CE" w:rsidRDefault="003B55CE" w:rsidP="00E950A2">
      <w:pPr>
        <w:pStyle w:val="ListParagraph"/>
        <w:ind w:left="0"/>
        <w:jc w:val="both"/>
        <w:rPr>
          <w:rFonts w:ascii="Alef" w:hAnsi="Alef" w:cs="Alef"/>
          <w:rtl/>
        </w:rPr>
      </w:pPr>
      <w:r w:rsidRPr="00AE7DB0">
        <w:rPr>
          <w:rFonts w:ascii="Alef" w:hAnsi="Alef" w:cs="Alef" w:hint="eastAsia"/>
          <w:rtl/>
        </w:rPr>
        <w:t>דוגמה</w:t>
      </w:r>
      <w:r w:rsidRPr="00AE7DB0">
        <w:rPr>
          <w:rFonts w:ascii="Alef" w:hAnsi="Alef" w:cs="Alef"/>
          <w:rtl/>
        </w:rPr>
        <w:t xml:space="preserve"> נוספת למקום שבו על הצדדים לבחון אם יש דרך פוגענית פחות להשגת </w:t>
      </w:r>
      <w:r>
        <w:rPr>
          <w:rFonts w:ascii="Alef" w:hAnsi="Alef" w:cs="Alef" w:hint="cs"/>
          <w:rtl/>
        </w:rPr>
        <w:t>תכלית החבירה</w:t>
      </w:r>
      <w:r w:rsidRPr="00AE7DB0">
        <w:rPr>
          <w:rFonts w:ascii="Alef" w:hAnsi="Alef" w:cs="Alef"/>
          <w:rtl/>
        </w:rPr>
        <w:t xml:space="preserve"> היא בכל הנוגע להשלמת יכולות, משאבים ותשומות. לצורך הדוגמה </w:t>
      </w:r>
      <w:r w:rsidRPr="00AE7DB0">
        <w:rPr>
          <w:rFonts w:ascii="Alef" w:hAnsi="Alef" w:cs="Alef" w:hint="eastAsia"/>
          <w:rtl/>
        </w:rPr>
        <w:t>יתכן</w:t>
      </w:r>
      <w:r w:rsidRPr="00AE7DB0">
        <w:rPr>
          <w:rFonts w:ascii="Alef" w:hAnsi="Alef" w:cs="Alef"/>
          <w:rtl/>
        </w:rPr>
        <w:t xml:space="preserve"> שמתחרה יבקש לחבור </w:t>
      </w:r>
      <w:r w:rsidRPr="00AE7DB0">
        <w:rPr>
          <w:rFonts w:ascii="Alef" w:hAnsi="Alef" w:cs="Alef" w:hint="eastAsia"/>
          <w:rtl/>
        </w:rPr>
        <w:t>אל</w:t>
      </w:r>
      <w:r w:rsidRPr="00AE7DB0">
        <w:rPr>
          <w:rFonts w:ascii="Alef" w:hAnsi="Alef" w:cs="Alef"/>
          <w:rtl/>
        </w:rPr>
        <w:t xml:space="preserve"> מתחרה שלו להגש</w:t>
      </w:r>
      <w:r>
        <w:rPr>
          <w:rFonts w:ascii="Alef" w:hAnsi="Alef" w:cs="Alef" w:hint="cs"/>
          <w:rtl/>
        </w:rPr>
        <w:t>ת הצעה</w:t>
      </w:r>
      <w:r w:rsidRPr="00AE7DB0">
        <w:rPr>
          <w:rFonts w:ascii="Alef" w:hAnsi="Alef" w:cs="Alef"/>
          <w:rtl/>
        </w:rPr>
        <w:t xml:space="preserve"> למכרז משום שאין לו די ציוד הנדסי כבד הנדרש לצורך ביצוע המכרז והחבירה תאפשר שימוש בציוד ההנדסי הכבד של המתחרה. בטרם ייחשב שיקול זה </w:t>
      </w:r>
      <w:r>
        <w:rPr>
          <w:rFonts w:ascii="Alef" w:hAnsi="Alef" w:cs="Alef" w:hint="cs"/>
          <w:rtl/>
        </w:rPr>
        <w:t>כהצדקה</w:t>
      </w:r>
      <w:r w:rsidRPr="00AE7DB0">
        <w:rPr>
          <w:rFonts w:ascii="Alef" w:hAnsi="Alef" w:cs="Alef"/>
          <w:rtl/>
        </w:rPr>
        <w:t xml:space="preserve"> לגיטימי</w:t>
      </w:r>
      <w:r>
        <w:rPr>
          <w:rFonts w:ascii="Alef" w:hAnsi="Alef" w:cs="Alef" w:hint="cs"/>
          <w:rtl/>
        </w:rPr>
        <w:t>ת לחבירה,</w:t>
      </w:r>
      <w:r w:rsidRPr="00AE7DB0">
        <w:rPr>
          <w:rFonts w:ascii="Alef" w:hAnsi="Alef" w:cs="Alef"/>
          <w:rtl/>
        </w:rPr>
        <w:t xml:space="preserve"> על מבקש החבירה ל</w:t>
      </w:r>
      <w:r>
        <w:rPr>
          <w:rFonts w:ascii="Alef" w:hAnsi="Alef" w:cs="Alef" w:hint="cs"/>
          <w:rtl/>
        </w:rPr>
        <w:t>הוכיח שאין</w:t>
      </w:r>
      <w:r w:rsidRPr="00AE7DB0">
        <w:rPr>
          <w:rFonts w:ascii="Alef" w:hAnsi="Alef" w:cs="Alef"/>
          <w:rtl/>
        </w:rPr>
        <w:t xml:space="preserve"> ביכולתו להשלים את משאביו בכוחותיו שלו כמו למשל באמצעות פינוי ציוד הנדסי מיותר </w:t>
      </w:r>
      <w:r>
        <w:rPr>
          <w:rFonts w:ascii="Alef" w:hAnsi="Alef" w:cs="Alef" w:hint="eastAsia"/>
          <w:rtl/>
        </w:rPr>
        <w:t>בפרו</w:t>
      </w:r>
      <w:r w:rsidRPr="00AE7DB0">
        <w:rPr>
          <w:rFonts w:ascii="Alef" w:hAnsi="Alef" w:cs="Alef" w:hint="eastAsia"/>
          <w:rtl/>
        </w:rPr>
        <w:t>יקטים</w:t>
      </w:r>
      <w:r w:rsidRPr="00AE7DB0">
        <w:rPr>
          <w:rFonts w:ascii="Alef" w:hAnsi="Alef" w:cs="Alef"/>
          <w:rtl/>
        </w:rPr>
        <w:t xml:space="preserve"> אחרים של</w:t>
      </w:r>
      <w:r>
        <w:rPr>
          <w:rFonts w:ascii="Alef" w:hAnsi="Alef" w:cs="Alef" w:hint="cs"/>
          <w:rtl/>
        </w:rPr>
        <w:t>ו</w:t>
      </w:r>
      <w:r w:rsidRPr="00AE7DB0">
        <w:rPr>
          <w:rFonts w:ascii="Alef" w:hAnsi="Alef" w:cs="Alef"/>
          <w:rtl/>
        </w:rPr>
        <w:t xml:space="preserve">. כך גם </w:t>
      </w:r>
      <w:r w:rsidRPr="00AE7DB0">
        <w:rPr>
          <w:rFonts w:ascii="Alef" w:hAnsi="Alef" w:cs="Alef" w:hint="eastAsia"/>
          <w:rtl/>
        </w:rPr>
        <w:t>מחסור</w:t>
      </w:r>
      <w:r w:rsidRPr="00AE7DB0">
        <w:rPr>
          <w:rFonts w:ascii="Alef" w:hAnsi="Alef" w:cs="Alef"/>
          <w:rtl/>
        </w:rPr>
        <w:t xml:space="preserve"> </w:t>
      </w:r>
      <w:r w:rsidRPr="00AE7DB0">
        <w:rPr>
          <w:rFonts w:ascii="Alef" w:hAnsi="Alef" w:cs="Alef" w:hint="eastAsia"/>
          <w:rtl/>
        </w:rPr>
        <w:t>בתחומי</w:t>
      </w:r>
      <w:r w:rsidRPr="00AE7DB0">
        <w:rPr>
          <w:rFonts w:ascii="Alef" w:hAnsi="Alef" w:cs="Alef"/>
          <w:rtl/>
        </w:rPr>
        <w:t xml:space="preserve"> </w:t>
      </w:r>
      <w:r w:rsidRPr="00AE7DB0">
        <w:rPr>
          <w:rFonts w:ascii="Alef" w:hAnsi="Alef" w:cs="Alef"/>
          <w:rtl/>
        </w:rPr>
        <w:lastRenderedPageBreak/>
        <w:t xml:space="preserve">ידע ומומחיות או מחסור </w:t>
      </w:r>
      <w:proofErr w:type="spellStart"/>
      <w:r w:rsidRPr="00AE7DB0">
        <w:rPr>
          <w:rFonts w:ascii="Alef" w:hAnsi="Alef" w:cs="Alef" w:hint="eastAsia"/>
          <w:rtl/>
        </w:rPr>
        <w:t>בכח</w:t>
      </w:r>
      <w:proofErr w:type="spellEnd"/>
      <w:r w:rsidRPr="00AE7DB0">
        <w:rPr>
          <w:rFonts w:ascii="Alef" w:hAnsi="Alef" w:cs="Alef"/>
          <w:rtl/>
        </w:rPr>
        <w:t xml:space="preserve"> אדם ניתנים לעיתים ל</w:t>
      </w:r>
      <w:r w:rsidRPr="00AE7DB0">
        <w:rPr>
          <w:rFonts w:ascii="Alef" w:hAnsi="Alef" w:cs="Alef" w:hint="eastAsia"/>
          <w:rtl/>
        </w:rPr>
        <w:t>השלמה</w:t>
      </w:r>
      <w:r w:rsidRPr="00AE7DB0">
        <w:rPr>
          <w:rFonts w:ascii="Alef" w:hAnsi="Alef" w:cs="Alef"/>
          <w:rtl/>
        </w:rPr>
        <w:t xml:space="preserve"> </w:t>
      </w:r>
      <w:r w:rsidRPr="00AE7DB0">
        <w:rPr>
          <w:rFonts w:ascii="Alef" w:hAnsi="Alef" w:cs="Alef" w:hint="eastAsia"/>
          <w:rtl/>
        </w:rPr>
        <w:t>עצמית</w:t>
      </w:r>
      <w:r w:rsidRPr="00AE7DB0">
        <w:rPr>
          <w:rFonts w:ascii="Alef" w:hAnsi="Alef" w:cs="Alef"/>
          <w:rtl/>
        </w:rPr>
        <w:t xml:space="preserve"> </w:t>
      </w:r>
      <w:r w:rsidRPr="00AE7DB0">
        <w:rPr>
          <w:rFonts w:ascii="Alef" w:hAnsi="Alef" w:cs="Alef" w:hint="eastAsia"/>
          <w:rtl/>
        </w:rPr>
        <w:t>מבלי</w:t>
      </w:r>
      <w:r w:rsidRPr="00AE7DB0">
        <w:rPr>
          <w:rFonts w:ascii="Alef" w:hAnsi="Alef" w:cs="Alef"/>
          <w:rtl/>
        </w:rPr>
        <w:t xml:space="preserve"> </w:t>
      </w:r>
      <w:r w:rsidRPr="00AE7DB0">
        <w:rPr>
          <w:rFonts w:ascii="Alef" w:hAnsi="Alef" w:cs="Alef" w:hint="eastAsia"/>
          <w:rtl/>
        </w:rPr>
        <w:t>שנדרשת</w:t>
      </w:r>
      <w:r w:rsidRPr="00AE7DB0">
        <w:rPr>
          <w:rFonts w:ascii="Alef" w:hAnsi="Alef" w:cs="Alef"/>
          <w:rtl/>
        </w:rPr>
        <w:t xml:space="preserve"> </w:t>
      </w:r>
      <w:r w:rsidRPr="00AE7DB0">
        <w:rPr>
          <w:rFonts w:ascii="Alef" w:hAnsi="Alef" w:cs="Alef" w:hint="eastAsia"/>
          <w:rtl/>
        </w:rPr>
        <w:t>לצורך</w:t>
      </w:r>
      <w:r w:rsidRPr="00AE7DB0">
        <w:rPr>
          <w:rFonts w:ascii="Alef" w:hAnsi="Alef" w:cs="Alef"/>
          <w:rtl/>
        </w:rPr>
        <w:t xml:space="preserve"> </w:t>
      </w:r>
      <w:r w:rsidRPr="00AE7DB0">
        <w:rPr>
          <w:rFonts w:ascii="Alef" w:hAnsi="Alef" w:cs="Alef" w:hint="eastAsia"/>
          <w:rtl/>
        </w:rPr>
        <w:t>כך</w:t>
      </w:r>
      <w:r w:rsidRPr="00AE7DB0">
        <w:rPr>
          <w:rFonts w:ascii="Alef" w:hAnsi="Alef" w:cs="Alef"/>
          <w:rtl/>
        </w:rPr>
        <w:t xml:space="preserve"> </w:t>
      </w:r>
      <w:r w:rsidRPr="00AE7DB0">
        <w:rPr>
          <w:rFonts w:ascii="Alef" w:hAnsi="Alef" w:cs="Alef" w:hint="eastAsia"/>
          <w:rtl/>
        </w:rPr>
        <w:t>חבירה</w:t>
      </w:r>
      <w:r w:rsidRPr="00AE7DB0">
        <w:rPr>
          <w:rFonts w:ascii="Alef" w:hAnsi="Alef" w:cs="Alef"/>
          <w:rtl/>
        </w:rPr>
        <w:t xml:space="preserve"> </w:t>
      </w:r>
      <w:r w:rsidRPr="00AE7DB0">
        <w:rPr>
          <w:rFonts w:ascii="Alef" w:hAnsi="Alef" w:cs="Alef" w:hint="eastAsia"/>
          <w:rtl/>
        </w:rPr>
        <w:t>עם</w:t>
      </w:r>
      <w:r w:rsidRPr="00AE7DB0">
        <w:rPr>
          <w:rFonts w:ascii="Alef" w:hAnsi="Alef" w:cs="Alef"/>
          <w:rtl/>
        </w:rPr>
        <w:t xml:space="preserve"> </w:t>
      </w:r>
      <w:r w:rsidRPr="00AE7DB0">
        <w:rPr>
          <w:rFonts w:ascii="Alef" w:hAnsi="Alef" w:cs="Alef" w:hint="eastAsia"/>
          <w:rtl/>
        </w:rPr>
        <w:t>המתחרה</w:t>
      </w:r>
      <w:r w:rsidRPr="00AE7DB0">
        <w:rPr>
          <w:rFonts w:ascii="Alef" w:hAnsi="Alef" w:cs="Alef"/>
          <w:rtl/>
        </w:rPr>
        <w:t>.</w:t>
      </w:r>
      <w:r>
        <w:rPr>
          <w:rFonts w:ascii="Alef" w:hAnsi="Alef" w:cs="Alef" w:hint="cs"/>
          <w:rtl/>
        </w:rPr>
        <w:t xml:space="preserve"> </w:t>
      </w:r>
    </w:p>
    <w:p w:rsidR="003B55CE" w:rsidRDefault="003B55CE" w:rsidP="003B55CE">
      <w:pPr>
        <w:jc w:val="both"/>
        <w:rPr>
          <w:rFonts w:ascii="Alef" w:hAnsi="Alef" w:cs="Alef"/>
          <w:rtl/>
        </w:rPr>
      </w:pPr>
      <w:r>
        <w:rPr>
          <w:rFonts w:ascii="Alef" w:hAnsi="Alef" w:cs="Alef" w:hint="cs"/>
          <w:rtl/>
        </w:rPr>
        <w:t xml:space="preserve">ראוי לשוב ולהדגיש כי הדרישה לקיומן של הצדקות לגיטימיות לחבירה היא דרישה שאינה מחליפה את הניתוח התחרותי. הניתוח של מידת הפגיעה בתחרות מצטבר לניתוח בנוגע לעיקרה של החבירה ונחיצותה. גם אם יש בידי הצדדים להראות כי החבירה נחוצה, עדיין יהיה עליהם לשכנע שהחבירה ביניהם אינה מייצרת פגיעה תחרותית של ממש. </w:t>
      </w:r>
    </w:p>
    <w:p w:rsidR="003B55CE" w:rsidRPr="005E7C0B" w:rsidRDefault="003B55CE" w:rsidP="003B55CE">
      <w:pPr>
        <w:pStyle w:val="ListParagraph"/>
        <w:numPr>
          <w:ilvl w:val="0"/>
          <w:numId w:val="14"/>
        </w:numPr>
        <w:spacing w:after="160" w:line="259" w:lineRule="auto"/>
        <w:rPr>
          <w:rFonts w:ascii="Alef" w:hAnsi="Alef" w:cs="Alef"/>
          <w:b/>
          <w:bCs/>
          <w:rtl/>
        </w:rPr>
      </w:pPr>
      <w:r w:rsidRPr="005E7C0B">
        <w:rPr>
          <w:rFonts w:ascii="Alef" w:hAnsi="Alef" w:cs="Alef" w:hint="eastAsia"/>
          <w:b/>
          <w:bCs/>
          <w:rtl/>
        </w:rPr>
        <w:t>שונות</w:t>
      </w:r>
    </w:p>
    <w:p w:rsidR="003B55CE" w:rsidRDefault="003B55CE" w:rsidP="003B55CE">
      <w:pPr>
        <w:rPr>
          <w:rFonts w:ascii="Alef" w:hAnsi="Alef" w:cs="Alef"/>
          <w:rtl/>
        </w:rPr>
      </w:pPr>
      <w:r>
        <w:rPr>
          <w:rFonts w:ascii="Alef" w:hAnsi="Alef" w:cs="Alef" w:hint="cs"/>
          <w:rtl/>
        </w:rPr>
        <w:t>בשולי הדברים אנו מוצאים לנכון להידרש לשתי סוגיות נוספות:</w:t>
      </w:r>
    </w:p>
    <w:p w:rsidR="003B55CE" w:rsidRPr="00024713" w:rsidRDefault="003B55CE" w:rsidP="00024713">
      <w:pPr>
        <w:pStyle w:val="ListParagraph"/>
        <w:numPr>
          <w:ilvl w:val="0"/>
          <w:numId w:val="13"/>
        </w:numPr>
        <w:spacing w:after="160" w:line="259" w:lineRule="auto"/>
        <w:rPr>
          <w:rFonts w:ascii="Alef" w:hAnsi="Alef" w:cs="Alef"/>
        </w:rPr>
      </w:pPr>
      <w:r>
        <w:rPr>
          <w:rFonts w:ascii="Alef" w:hAnsi="Alef" w:cs="Alef" w:hint="cs"/>
          <w:rtl/>
        </w:rPr>
        <w:t>חבירה חוזרת</w:t>
      </w:r>
    </w:p>
    <w:p w:rsidR="003B55CE" w:rsidRPr="00286381" w:rsidRDefault="003B55CE" w:rsidP="003B55CE">
      <w:pPr>
        <w:pStyle w:val="ListParagraph"/>
        <w:jc w:val="both"/>
        <w:rPr>
          <w:rFonts w:ascii="Alef" w:hAnsi="Alef" w:cs="Alef"/>
          <w:rtl/>
        </w:rPr>
      </w:pPr>
      <w:r w:rsidRPr="00286381">
        <w:rPr>
          <w:rFonts w:ascii="Alef" w:hAnsi="Alef" w:cs="Alef" w:hint="cs"/>
          <w:rtl/>
        </w:rPr>
        <w:t xml:space="preserve">חבירה של מתחרים בתבנית חוזרת של שיתוף פעולה בין אם היא נעשית על פי סיכום מסגרת מפורש, שבו הצדדים סיכמו כי ייגשו למכרזים מסוג מסוים כקבוצה אחת, ובין אם היא נעשית אד הוק אך באופן שחוזר על עצמו, מקימה חששות תחרותיים מוגברים. </w:t>
      </w:r>
    </w:p>
    <w:p w:rsidR="003B55CE" w:rsidRDefault="003B55CE" w:rsidP="003B55CE">
      <w:pPr>
        <w:pStyle w:val="ListParagraph"/>
        <w:jc w:val="both"/>
        <w:rPr>
          <w:rFonts w:ascii="Alef" w:hAnsi="Alef" w:cs="Alef"/>
          <w:rtl/>
        </w:rPr>
      </w:pPr>
      <w:r>
        <w:rPr>
          <w:rFonts w:ascii="Alef" w:hAnsi="Alef" w:cs="Alef" w:hint="cs"/>
          <w:rtl/>
        </w:rPr>
        <w:t xml:space="preserve">ראשית, חבירה מסוג זה עשויה לפגוע ביכולת של כל אחד מהמתחרים לפעול באופן עצמאי והיא עלולה ליצור תלות הדדית ביניהם. כך חבירה משותפת בשורה ארוכה של </w:t>
      </w:r>
      <w:r>
        <w:rPr>
          <w:rFonts w:ascii="Alef" w:hAnsi="Alef" w:cs="Alef" w:hint="cs"/>
          <w:rtl/>
        </w:rPr>
        <w:lastRenderedPageBreak/>
        <w:t xml:space="preserve">פרויקטים שבהם הצדדים מחלקים ביניהם אחריות על תחומי תוכן ספציפיים עשויה לגרום לכל אחד מן הצדדים לאבד יכולות, ניסיון, היכרות עם תחומי עיסוק וכיו"ב. לפיכך, בעוד שבחבירה חד פעמית, ככלל, אין מקום לחשש לפיו עצם החבירה תגרום לאיבוד מתחרה בעל סט יכולות מלא מן השוק, יש מקום לשקול שיקול תחרותי מסוג זה כאשר מדובר בשיתוף פעולה שחוזר על עצמו בתבנית קבועה. </w:t>
      </w:r>
    </w:p>
    <w:p w:rsidR="003B55CE" w:rsidRDefault="003B55CE" w:rsidP="003B55CE">
      <w:pPr>
        <w:pStyle w:val="ListParagraph"/>
        <w:jc w:val="both"/>
        <w:rPr>
          <w:rFonts w:ascii="Alef" w:hAnsi="Alef" w:cs="Alef"/>
          <w:rtl/>
        </w:rPr>
      </w:pPr>
      <w:r>
        <w:rPr>
          <w:rFonts w:ascii="Alef" w:hAnsi="Alef" w:cs="Alef" w:hint="cs"/>
          <w:rtl/>
        </w:rPr>
        <w:t xml:space="preserve">שנית, חבירה מסוג זה עשויה לחזק את השולחן המשותף של המתחרים החוברים ביניהם. כאשר מתחרים חוברים לפרויקט אחד, אך יודעים שיידרשו להתחרות זה בזה בפרויקטים אחרים, שיתוף הפעולה ביניהם נראה אחרת מאשר שיתוף פעולה שבו הצדדים פועלים מתוך אינטרס משותף ארוך ומתמשך. במיוחד כך כאשר קיימת ביניהם הסכמה להתמודדות משותפת במכרזים באופן קבוע. האינטרס שהם חולקים עשוי להשבית את התמריץ שלהם להתחרות זה בזה מחוץ לגדרי המכרזים שבהם הם משתפים פעולה ולכל הפחות להפחית את התמריץ להתחרות זה בזה בצורה משמעותית. </w:t>
      </w:r>
    </w:p>
    <w:p w:rsidR="003B55CE" w:rsidRDefault="003B55CE" w:rsidP="003B55CE">
      <w:pPr>
        <w:pStyle w:val="ListParagraph"/>
        <w:rPr>
          <w:rFonts w:ascii="Alef" w:hAnsi="Alef" w:cs="Alef"/>
          <w:rtl/>
        </w:rPr>
      </w:pPr>
    </w:p>
    <w:p w:rsidR="003B55CE" w:rsidRPr="00024713" w:rsidRDefault="003B55CE" w:rsidP="00024713">
      <w:pPr>
        <w:pStyle w:val="ListParagraph"/>
        <w:numPr>
          <w:ilvl w:val="0"/>
          <w:numId w:val="13"/>
        </w:numPr>
        <w:spacing w:after="160" w:line="259" w:lineRule="auto"/>
        <w:rPr>
          <w:rFonts w:ascii="Alef" w:hAnsi="Alef" w:cs="Alef"/>
        </w:rPr>
      </w:pPr>
      <w:r w:rsidRPr="00AE7DB0">
        <w:rPr>
          <w:rFonts w:ascii="Alef" w:hAnsi="Alef" w:cs="Alef" w:hint="eastAsia"/>
          <w:rtl/>
        </w:rPr>
        <w:lastRenderedPageBreak/>
        <w:t>העברות</w:t>
      </w:r>
      <w:r w:rsidRPr="00AE7DB0">
        <w:rPr>
          <w:rFonts w:ascii="Alef" w:hAnsi="Alef" w:cs="Alef"/>
          <w:rtl/>
        </w:rPr>
        <w:t xml:space="preserve"> </w:t>
      </w:r>
      <w:r w:rsidRPr="00AE7DB0">
        <w:rPr>
          <w:rFonts w:ascii="Alef" w:hAnsi="Alef" w:cs="Alef" w:hint="eastAsia"/>
          <w:rtl/>
        </w:rPr>
        <w:t>מידע</w:t>
      </w:r>
      <w:r w:rsidRPr="00AE7DB0">
        <w:rPr>
          <w:rFonts w:ascii="Alef" w:hAnsi="Alef" w:cs="Alef"/>
          <w:rtl/>
        </w:rPr>
        <w:t xml:space="preserve"> </w:t>
      </w:r>
      <w:r w:rsidRPr="00AE7DB0">
        <w:rPr>
          <w:rFonts w:ascii="Alef" w:hAnsi="Alef" w:cs="Alef" w:hint="eastAsia"/>
          <w:rtl/>
        </w:rPr>
        <w:t>תחרותי</w:t>
      </w:r>
      <w:r w:rsidRPr="00AE7DB0">
        <w:rPr>
          <w:rFonts w:ascii="Alef" w:hAnsi="Alef" w:cs="Alef"/>
          <w:rtl/>
        </w:rPr>
        <w:t xml:space="preserve"> </w:t>
      </w:r>
      <w:r w:rsidRPr="00AE7DB0">
        <w:rPr>
          <w:rFonts w:ascii="Alef" w:hAnsi="Alef" w:cs="Alef" w:hint="eastAsia"/>
          <w:rtl/>
        </w:rPr>
        <w:t>רגיש</w:t>
      </w:r>
      <w:r w:rsidRPr="00AE7DB0">
        <w:rPr>
          <w:rFonts w:ascii="Alef" w:hAnsi="Alef" w:cs="Alef"/>
          <w:rtl/>
        </w:rPr>
        <w:t xml:space="preserve"> </w:t>
      </w:r>
    </w:p>
    <w:p w:rsidR="003B55CE" w:rsidRPr="00AE7DB0" w:rsidRDefault="003B55CE" w:rsidP="003B55CE">
      <w:pPr>
        <w:pStyle w:val="ListParagraph"/>
        <w:jc w:val="both"/>
        <w:rPr>
          <w:rFonts w:ascii="Alef" w:hAnsi="Alef" w:cs="Alef"/>
          <w:rtl/>
        </w:rPr>
      </w:pPr>
      <w:r>
        <w:rPr>
          <w:rFonts w:ascii="Alef" w:hAnsi="Alef" w:cs="Alef" w:hint="cs"/>
          <w:rtl/>
        </w:rPr>
        <w:t xml:space="preserve">כפי שהורחב לעיל, </w:t>
      </w:r>
      <w:r w:rsidRPr="00AE7DB0">
        <w:rPr>
          <w:rFonts w:ascii="Alef" w:hAnsi="Alef" w:cs="Alef" w:hint="eastAsia"/>
          <w:rtl/>
        </w:rPr>
        <w:t>בחבירה</w:t>
      </w:r>
      <w:r w:rsidRPr="00AE7DB0">
        <w:rPr>
          <w:rFonts w:ascii="Alef" w:hAnsi="Alef" w:cs="Alef"/>
          <w:rtl/>
        </w:rPr>
        <w:t xml:space="preserve"> משותפת </w:t>
      </w:r>
      <w:r>
        <w:rPr>
          <w:rFonts w:ascii="Alef" w:hAnsi="Alef" w:cs="Alef" w:hint="cs"/>
          <w:rtl/>
        </w:rPr>
        <w:t xml:space="preserve">לצורך הגשת הצעה במכרז, נדרשים </w:t>
      </w:r>
      <w:r w:rsidRPr="00AE7DB0">
        <w:rPr>
          <w:rFonts w:ascii="Alef" w:hAnsi="Alef" w:cs="Alef"/>
          <w:rtl/>
        </w:rPr>
        <w:t xml:space="preserve">הצדדים להיות רגישים במיוחד לבל יעבור ביניהם מידע תחרותי רגיש. </w:t>
      </w:r>
      <w:r>
        <w:rPr>
          <w:rFonts w:ascii="Alef" w:hAnsi="Alef" w:cs="Alef" w:hint="cs"/>
          <w:rtl/>
        </w:rPr>
        <w:t xml:space="preserve">כמו כן, </w:t>
      </w:r>
      <w:r w:rsidRPr="00AE7DB0">
        <w:rPr>
          <w:rFonts w:ascii="Alef" w:hAnsi="Alef" w:cs="Alef"/>
          <w:rtl/>
        </w:rPr>
        <w:t xml:space="preserve">עליהם לקבוע מנגנונים שימנעו מעבר מידע תחרותי רגיש בין מתחרים. </w:t>
      </w:r>
    </w:p>
    <w:p w:rsidR="003B55CE" w:rsidRPr="00C2374B" w:rsidRDefault="003B55CE" w:rsidP="00EC3F2A">
      <w:pPr>
        <w:pStyle w:val="ListParagraph"/>
        <w:jc w:val="both"/>
        <w:rPr>
          <w:rFonts w:ascii="Alef" w:hAnsi="Alef" w:cs="Alef"/>
          <w:rtl/>
        </w:rPr>
      </w:pPr>
      <w:r w:rsidRPr="00AE7DB0">
        <w:rPr>
          <w:rFonts w:ascii="Alef" w:hAnsi="Alef" w:cs="Alef" w:hint="eastAsia"/>
          <w:rtl/>
        </w:rPr>
        <w:t>לדברים</w:t>
      </w:r>
      <w:r w:rsidRPr="00AE7DB0">
        <w:rPr>
          <w:rFonts w:ascii="Alef" w:hAnsi="Alef" w:cs="Alef"/>
          <w:rtl/>
        </w:rPr>
        <w:t xml:space="preserve"> </w:t>
      </w:r>
      <w:r w:rsidRPr="00AE7DB0">
        <w:rPr>
          <w:rFonts w:ascii="Alef" w:hAnsi="Alef" w:cs="Alef" w:hint="eastAsia"/>
          <w:rtl/>
        </w:rPr>
        <w:t>אלה</w:t>
      </w:r>
      <w:r w:rsidRPr="00AE7DB0">
        <w:rPr>
          <w:rFonts w:ascii="Alef" w:hAnsi="Alef" w:cs="Alef"/>
          <w:rtl/>
        </w:rPr>
        <w:t xml:space="preserve"> </w:t>
      </w:r>
      <w:r w:rsidRPr="00AE7DB0">
        <w:rPr>
          <w:rFonts w:ascii="Alef" w:hAnsi="Alef" w:cs="Alef" w:hint="eastAsia"/>
          <w:rtl/>
        </w:rPr>
        <w:t>משנה</w:t>
      </w:r>
      <w:r w:rsidRPr="00AE7DB0">
        <w:rPr>
          <w:rFonts w:ascii="Alef" w:hAnsi="Alef" w:cs="Alef"/>
          <w:rtl/>
        </w:rPr>
        <w:t xml:space="preserve"> חשיבות בשלב שבו הצדדים שוקלים האם ליצור ביניהם חבירה. בשלב זה כל רמיזה או אמירה משתמעת של מתחרה אחד למתחרהו באשר לכוונותיו </w:t>
      </w:r>
      <w:r>
        <w:rPr>
          <w:rFonts w:ascii="Alef" w:hAnsi="Alef" w:cs="Alef" w:hint="eastAsia"/>
          <w:rtl/>
        </w:rPr>
        <w:t>הע</w:t>
      </w:r>
      <w:r w:rsidRPr="00AE7DB0">
        <w:rPr>
          <w:rFonts w:ascii="Alef" w:hAnsi="Alef" w:cs="Alef" w:hint="eastAsia"/>
          <w:rtl/>
        </w:rPr>
        <w:t>סקיות</w:t>
      </w:r>
      <w:r w:rsidRPr="00AE7DB0">
        <w:rPr>
          <w:rFonts w:ascii="Alef" w:hAnsi="Alef" w:cs="Alef"/>
          <w:rtl/>
        </w:rPr>
        <w:t xml:space="preserve"> עלולה ליצור פגיעה חמורה בתחרות ולהוליך את הצדדים להפרה של חוק התחרות הכלכלית. </w:t>
      </w:r>
      <w:r w:rsidRPr="00AE7DB0">
        <w:rPr>
          <w:rFonts w:ascii="Alef" w:hAnsi="Alef" w:cs="Alef" w:hint="eastAsia"/>
          <w:rtl/>
        </w:rPr>
        <w:t>לדוגמה</w:t>
      </w:r>
      <w:r w:rsidRPr="00AE7DB0">
        <w:rPr>
          <w:rFonts w:ascii="Alef" w:hAnsi="Alef" w:cs="Alef"/>
          <w:rtl/>
        </w:rPr>
        <w:t xml:space="preserve">, </w:t>
      </w:r>
      <w:r w:rsidRPr="008443E9">
        <w:rPr>
          <w:rFonts w:ascii="Alef" w:hAnsi="Alef" w:cs="Alef"/>
          <w:rtl/>
        </w:rPr>
        <w:t xml:space="preserve">אם בשלב שבו צדדים שוקלים לחבור ביניהם לצורך הגשה משותפת במכרז מעביר צד אחד את המסר למתחרהו לפיו אין בדעתו לגשת למכרז מבלי שתתקיים החבירה או </w:t>
      </w:r>
      <w:r w:rsidRPr="008443E9">
        <w:rPr>
          <w:rFonts w:ascii="Alef" w:hAnsi="Alef" w:cs="Alef" w:hint="eastAsia"/>
          <w:rtl/>
        </w:rPr>
        <w:t>שתתקיים</w:t>
      </w:r>
      <w:r w:rsidRPr="008443E9">
        <w:rPr>
          <w:rFonts w:ascii="Alef" w:hAnsi="Alef" w:cs="Alef"/>
          <w:rtl/>
        </w:rPr>
        <w:t xml:space="preserve"> </w:t>
      </w:r>
      <w:r w:rsidRPr="008443E9">
        <w:rPr>
          <w:rFonts w:ascii="Alef" w:hAnsi="Alef" w:cs="Alef" w:hint="eastAsia"/>
          <w:rtl/>
        </w:rPr>
        <w:t>חבירה</w:t>
      </w:r>
      <w:r w:rsidRPr="008443E9">
        <w:rPr>
          <w:rFonts w:ascii="Alef" w:hAnsi="Alef" w:cs="Alef"/>
          <w:rtl/>
        </w:rPr>
        <w:t xml:space="preserve"> </w:t>
      </w:r>
      <w:r w:rsidRPr="008443E9">
        <w:rPr>
          <w:rFonts w:ascii="Alef" w:hAnsi="Alef" w:cs="Alef" w:hint="eastAsia"/>
          <w:rtl/>
        </w:rPr>
        <w:t>דומה</w:t>
      </w:r>
      <w:r w:rsidRPr="008443E9">
        <w:rPr>
          <w:rFonts w:ascii="Alef" w:hAnsi="Alef" w:cs="Alef"/>
          <w:rtl/>
        </w:rPr>
        <w:t xml:space="preserve"> </w:t>
      </w:r>
      <w:r w:rsidRPr="008443E9">
        <w:rPr>
          <w:rFonts w:ascii="Alef" w:hAnsi="Alef" w:cs="Alef" w:hint="eastAsia"/>
          <w:rtl/>
        </w:rPr>
        <w:t>עם</w:t>
      </w:r>
      <w:r w:rsidRPr="008443E9">
        <w:rPr>
          <w:rFonts w:ascii="Alef" w:hAnsi="Alef" w:cs="Alef"/>
          <w:rtl/>
        </w:rPr>
        <w:t xml:space="preserve"> </w:t>
      </w:r>
      <w:r w:rsidRPr="008443E9">
        <w:rPr>
          <w:rFonts w:ascii="Alef" w:hAnsi="Alef" w:cs="Alef" w:hint="eastAsia"/>
          <w:rtl/>
        </w:rPr>
        <w:t>גורם</w:t>
      </w:r>
      <w:r w:rsidRPr="008443E9">
        <w:rPr>
          <w:rFonts w:ascii="Alef" w:hAnsi="Alef" w:cs="Alef"/>
          <w:rtl/>
        </w:rPr>
        <w:t xml:space="preserve"> </w:t>
      </w:r>
      <w:r w:rsidRPr="008443E9">
        <w:rPr>
          <w:rFonts w:ascii="Alef" w:hAnsi="Alef" w:cs="Alef" w:hint="eastAsia"/>
          <w:rtl/>
        </w:rPr>
        <w:t>אחר</w:t>
      </w:r>
      <w:r w:rsidRPr="008443E9">
        <w:rPr>
          <w:rFonts w:ascii="Alef" w:hAnsi="Alef" w:cs="Alef"/>
          <w:rtl/>
        </w:rPr>
        <w:t xml:space="preserve">, </w:t>
      </w:r>
      <w:r w:rsidRPr="008443E9">
        <w:rPr>
          <w:rFonts w:ascii="Alef" w:hAnsi="Alef" w:cs="Alef" w:hint="eastAsia"/>
          <w:rtl/>
        </w:rPr>
        <w:t>עצם</w:t>
      </w:r>
      <w:r w:rsidRPr="008443E9">
        <w:rPr>
          <w:rFonts w:ascii="Alef" w:hAnsi="Alef" w:cs="Alef"/>
          <w:rtl/>
        </w:rPr>
        <w:t xml:space="preserve"> </w:t>
      </w:r>
      <w:r w:rsidRPr="008443E9">
        <w:rPr>
          <w:rFonts w:ascii="Alef" w:hAnsi="Alef" w:cs="Alef" w:hint="eastAsia"/>
          <w:rtl/>
        </w:rPr>
        <w:t>העברת</w:t>
      </w:r>
      <w:r w:rsidRPr="008443E9">
        <w:rPr>
          <w:rFonts w:ascii="Alef" w:hAnsi="Alef" w:cs="Alef"/>
          <w:rtl/>
        </w:rPr>
        <w:t xml:space="preserve"> </w:t>
      </w:r>
      <w:r w:rsidRPr="008443E9">
        <w:rPr>
          <w:rFonts w:ascii="Alef" w:hAnsi="Alef" w:cs="Alef" w:hint="eastAsia"/>
          <w:rtl/>
        </w:rPr>
        <w:t>מידע</w:t>
      </w:r>
      <w:r w:rsidRPr="008443E9">
        <w:rPr>
          <w:rFonts w:ascii="Alef" w:hAnsi="Alef" w:cs="Alef"/>
          <w:rtl/>
        </w:rPr>
        <w:t xml:space="preserve"> </w:t>
      </w:r>
      <w:r w:rsidRPr="008443E9">
        <w:rPr>
          <w:rFonts w:ascii="Alef" w:hAnsi="Alef" w:cs="Alef" w:hint="eastAsia"/>
          <w:rtl/>
        </w:rPr>
        <w:t>זה</w:t>
      </w:r>
      <w:r w:rsidRPr="008443E9">
        <w:rPr>
          <w:rFonts w:ascii="Alef" w:hAnsi="Alef" w:cs="Alef"/>
          <w:rtl/>
        </w:rPr>
        <w:t xml:space="preserve"> </w:t>
      </w:r>
      <w:r w:rsidRPr="008443E9">
        <w:rPr>
          <w:rFonts w:ascii="Alef" w:hAnsi="Alef" w:cs="Alef" w:hint="eastAsia"/>
          <w:rtl/>
        </w:rPr>
        <w:t>פוגע</w:t>
      </w:r>
      <w:r w:rsidRPr="008443E9">
        <w:rPr>
          <w:rFonts w:ascii="Alef" w:hAnsi="Alef" w:cs="Alef"/>
          <w:rtl/>
        </w:rPr>
        <w:t xml:space="preserve"> </w:t>
      </w:r>
      <w:r w:rsidRPr="008443E9">
        <w:rPr>
          <w:rFonts w:ascii="Alef" w:hAnsi="Alef" w:cs="Alef" w:hint="eastAsia"/>
          <w:rtl/>
        </w:rPr>
        <w:t>בתחרות</w:t>
      </w:r>
      <w:r w:rsidRPr="008443E9">
        <w:rPr>
          <w:rFonts w:ascii="Alef" w:hAnsi="Alef" w:cs="Alef"/>
          <w:rtl/>
        </w:rPr>
        <w:t xml:space="preserve"> </w:t>
      </w:r>
      <w:r w:rsidRPr="008443E9">
        <w:rPr>
          <w:rFonts w:ascii="Alef" w:hAnsi="Alef" w:cs="Alef" w:hint="eastAsia"/>
          <w:rtl/>
        </w:rPr>
        <w:t>ועלולה</w:t>
      </w:r>
      <w:r w:rsidRPr="008443E9">
        <w:rPr>
          <w:rFonts w:ascii="Alef" w:hAnsi="Alef" w:cs="Alef"/>
          <w:rtl/>
        </w:rPr>
        <w:t xml:space="preserve"> </w:t>
      </w:r>
      <w:r w:rsidRPr="008443E9">
        <w:rPr>
          <w:rFonts w:ascii="Alef" w:hAnsi="Alef" w:cs="Alef" w:hint="eastAsia"/>
          <w:rtl/>
        </w:rPr>
        <w:t>לעלות</w:t>
      </w:r>
      <w:r w:rsidRPr="008443E9">
        <w:rPr>
          <w:rFonts w:ascii="Alef" w:hAnsi="Alef" w:cs="Alef"/>
          <w:rtl/>
        </w:rPr>
        <w:t xml:space="preserve"> </w:t>
      </w:r>
      <w:r w:rsidRPr="008443E9">
        <w:rPr>
          <w:rFonts w:ascii="Alef" w:hAnsi="Alef" w:cs="Alef" w:hint="eastAsia"/>
          <w:rtl/>
        </w:rPr>
        <w:t>כדי</w:t>
      </w:r>
      <w:r w:rsidRPr="008443E9">
        <w:rPr>
          <w:rFonts w:ascii="Alef" w:hAnsi="Alef" w:cs="Alef"/>
          <w:rtl/>
        </w:rPr>
        <w:t xml:space="preserve"> </w:t>
      </w:r>
      <w:r w:rsidRPr="008443E9">
        <w:rPr>
          <w:rFonts w:ascii="Alef" w:hAnsi="Alef" w:cs="Alef" w:hint="eastAsia"/>
          <w:rtl/>
        </w:rPr>
        <w:t>הסדר</w:t>
      </w:r>
      <w:r w:rsidRPr="008443E9">
        <w:rPr>
          <w:rFonts w:ascii="Alef" w:hAnsi="Alef" w:cs="Alef"/>
          <w:rtl/>
        </w:rPr>
        <w:t xml:space="preserve"> </w:t>
      </w:r>
      <w:r w:rsidRPr="008443E9">
        <w:rPr>
          <w:rFonts w:ascii="Alef" w:hAnsi="Alef" w:cs="Alef" w:hint="eastAsia"/>
          <w:rtl/>
        </w:rPr>
        <w:t>כובל</w:t>
      </w:r>
      <w:r w:rsidRPr="008443E9">
        <w:rPr>
          <w:rFonts w:ascii="Alef" w:hAnsi="Alef" w:cs="Alef"/>
          <w:rtl/>
        </w:rPr>
        <w:t xml:space="preserve"> </w:t>
      </w:r>
      <w:r w:rsidRPr="008443E9">
        <w:rPr>
          <w:rFonts w:ascii="Alef" w:hAnsi="Alef" w:cs="Alef" w:hint="eastAsia"/>
          <w:rtl/>
        </w:rPr>
        <w:t>אסור</w:t>
      </w:r>
      <w:r w:rsidRPr="008443E9">
        <w:rPr>
          <w:rFonts w:ascii="Alef" w:hAnsi="Alef" w:cs="Alef"/>
          <w:rtl/>
        </w:rPr>
        <w:t xml:space="preserve"> </w:t>
      </w:r>
      <w:r w:rsidRPr="008443E9">
        <w:rPr>
          <w:rFonts w:ascii="Alef" w:hAnsi="Alef" w:cs="Alef" w:hint="eastAsia"/>
          <w:rtl/>
        </w:rPr>
        <w:t>על</w:t>
      </w:r>
      <w:r w:rsidRPr="008443E9">
        <w:rPr>
          <w:rFonts w:ascii="Alef" w:hAnsi="Alef" w:cs="Alef"/>
          <w:rtl/>
        </w:rPr>
        <w:t xml:space="preserve"> </w:t>
      </w:r>
      <w:r w:rsidRPr="008443E9">
        <w:rPr>
          <w:rFonts w:ascii="Alef" w:hAnsi="Alef" w:cs="Alef" w:hint="eastAsia"/>
          <w:rtl/>
        </w:rPr>
        <w:t>פי</w:t>
      </w:r>
      <w:r w:rsidRPr="008443E9">
        <w:rPr>
          <w:rFonts w:ascii="Alef" w:hAnsi="Alef" w:cs="Alef"/>
          <w:rtl/>
        </w:rPr>
        <w:t xml:space="preserve"> </w:t>
      </w:r>
      <w:r w:rsidRPr="008443E9">
        <w:rPr>
          <w:rFonts w:ascii="Alef" w:hAnsi="Alef" w:cs="Alef" w:hint="eastAsia"/>
          <w:rtl/>
        </w:rPr>
        <w:t>חוק</w:t>
      </w:r>
      <w:r w:rsidRPr="008443E9">
        <w:rPr>
          <w:rFonts w:ascii="Alef" w:hAnsi="Alef" w:cs="Alef"/>
          <w:rtl/>
        </w:rPr>
        <w:t xml:space="preserve"> </w:t>
      </w:r>
      <w:r w:rsidRPr="008443E9">
        <w:rPr>
          <w:rFonts w:ascii="Alef" w:hAnsi="Alef" w:cs="Alef" w:hint="eastAsia"/>
          <w:rtl/>
        </w:rPr>
        <w:t>התחרות</w:t>
      </w:r>
      <w:r w:rsidRPr="008443E9">
        <w:rPr>
          <w:rFonts w:ascii="Alef" w:hAnsi="Alef" w:cs="Alef"/>
          <w:rtl/>
        </w:rPr>
        <w:t xml:space="preserve"> </w:t>
      </w:r>
      <w:r w:rsidRPr="008504BF">
        <w:rPr>
          <w:rFonts w:ascii="Alef" w:hAnsi="Alef" w:cs="Alef"/>
          <w:rtl/>
        </w:rPr>
        <w:t>הכלכלית.</w:t>
      </w:r>
      <w:r w:rsidR="00EC3F2A" w:rsidRPr="008504BF">
        <w:rPr>
          <w:rStyle w:val="FootnoteReference"/>
          <w:rFonts w:ascii="Alef" w:hAnsi="Alef" w:cs="Alef"/>
          <w:rtl/>
        </w:rPr>
        <w:footnoteReference w:id="25"/>
      </w:r>
      <w:r w:rsidRPr="00C2374B">
        <w:rPr>
          <w:rFonts w:ascii="Alef" w:hAnsi="Alef" w:cs="Alef" w:hint="cs"/>
          <w:rtl/>
        </w:rPr>
        <w:t xml:space="preserve"> </w:t>
      </w:r>
    </w:p>
    <w:p w:rsidR="003B55CE" w:rsidRPr="00C2374B" w:rsidRDefault="003B55CE" w:rsidP="003B55CE">
      <w:pPr>
        <w:pStyle w:val="ListParagraph"/>
        <w:rPr>
          <w:rFonts w:ascii="Alef" w:hAnsi="Alef" w:cs="Alef"/>
          <w:rtl/>
        </w:rPr>
      </w:pPr>
    </w:p>
    <w:p w:rsidR="003B55CE" w:rsidRDefault="003B55CE" w:rsidP="003B55CE">
      <w:pPr>
        <w:pStyle w:val="ListParagraph"/>
        <w:jc w:val="both"/>
        <w:rPr>
          <w:rFonts w:ascii="Alef" w:hAnsi="Alef" w:cs="Alef"/>
          <w:rtl/>
        </w:rPr>
      </w:pPr>
      <w:r w:rsidRPr="00AE7DB0">
        <w:rPr>
          <w:rFonts w:ascii="Alef" w:hAnsi="Alef" w:cs="Alef" w:hint="eastAsia"/>
          <w:rtl/>
        </w:rPr>
        <w:t>יתר</w:t>
      </w:r>
      <w:r w:rsidRPr="00AE7DB0">
        <w:rPr>
          <w:rFonts w:ascii="Alef" w:hAnsi="Alef" w:cs="Alef"/>
          <w:rtl/>
        </w:rPr>
        <w:t xml:space="preserve"> </w:t>
      </w:r>
      <w:r w:rsidRPr="00AE7DB0">
        <w:rPr>
          <w:rFonts w:ascii="Alef" w:hAnsi="Alef" w:cs="Alef" w:hint="eastAsia"/>
          <w:rtl/>
        </w:rPr>
        <w:t>על</w:t>
      </w:r>
      <w:r w:rsidRPr="00AE7DB0">
        <w:rPr>
          <w:rFonts w:ascii="Alef" w:hAnsi="Alef" w:cs="Alef"/>
          <w:rtl/>
        </w:rPr>
        <w:t xml:space="preserve"> </w:t>
      </w:r>
      <w:r w:rsidRPr="00AE7DB0">
        <w:rPr>
          <w:rFonts w:ascii="Alef" w:hAnsi="Alef" w:cs="Alef" w:hint="eastAsia"/>
          <w:rtl/>
        </w:rPr>
        <w:t>כן</w:t>
      </w:r>
      <w:r w:rsidRPr="00AE7DB0">
        <w:rPr>
          <w:rFonts w:ascii="Alef" w:hAnsi="Alef" w:cs="Alef"/>
          <w:rtl/>
        </w:rPr>
        <w:t xml:space="preserve">, </w:t>
      </w:r>
      <w:r>
        <w:rPr>
          <w:rFonts w:ascii="Alef" w:hAnsi="Alef" w:cs="Alef" w:hint="cs"/>
          <w:rtl/>
        </w:rPr>
        <w:t>יש להימנע מ</w:t>
      </w:r>
      <w:r w:rsidRPr="00AE7DB0">
        <w:rPr>
          <w:rFonts w:ascii="Alef" w:hAnsi="Alef" w:cs="Alef" w:hint="eastAsia"/>
          <w:rtl/>
        </w:rPr>
        <w:t>מצבים</w:t>
      </w:r>
      <w:r w:rsidRPr="00AE7DB0">
        <w:rPr>
          <w:rFonts w:ascii="Alef" w:hAnsi="Alef" w:cs="Alef"/>
          <w:rtl/>
        </w:rPr>
        <w:t xml:space="preserve"> </w:t>
      </w:r>
      <w:r w:rsidRPr="00AE7DB0">
        <w:rPr>
          <w:rFonts w:ascii="Alef" w:hAnsi="Alef" w:cs="Alef" w:hint="eastAsia"/>
          <w:rtl/>
        </w:rPr>
        <w:t>שבהם</w:t>
      </w:r>
      <w:r w:rsidRPr="00AE7DB0">
        <w:rPr>
          <w:rFonts w:ascii="Alef" w:hAnsi="Alef" w:cs="Alef"/>
          <w:rtl/>
        </w:rPr>
        <w:t xml:space="preserve"> </w:t>
      </w:r>
      <w:r w:rsidRPr="00AE7DB0">
        <w:rPr>
          <w:rFonts w:ascii="Alef" w:hAnsi="Alef" w:cs="Alef" w:hint="eastAsia"/>
          <w:rtl/>
        </w:rPr>
        <w:t>עובר</w:t>
      </w:r>
      <w:r w:rsidRPr="00AE7DB0">
        <w:rPr>
          <w:rFonts w:ascii="Alef" w:hAnsi="Alef" w:cs="Alef"/>
          <w:rtl/>
        </w:rPr>
        <w:t xml:space="preserve"> </w:t>
      </w:r>
      <w:r w:rsidRPr="00AE7DB0">
        <w:rPr>
          <w:rFonts w:ascii="Alef" w:hAnsi="Alef" w:cs="Alef" w:hint="eastAsia"/>
          <w:rtl/>
        </w:rPr>
        <w:t>מידע</w:t>
      </w:r>
      <w:r w:rsidRPr="00AE7DB0">
        <w:rPr>
          <w:rFonts w:ascii="Alef" w:hAnsi="Alef" w:cs="Alef"/>
          <w:rtl/>
        </w:rPr>
        <w:t xml:space="preserve"> </w:t>
      </w:r>
      <w:r w:rsidRPr="00AE7DB0">
        <w:rPr>
          <w:rFonts w:ascii="Alef" w:hAnsi="Alef" w:cs="Alef" w:hint="eastAsia"/>
          <w:rtl/>
        </w:rPr>
        <w:t>רגיש</w:t>
      </w:r>
      <w:r w:rsidRPr="00AE7DB0">
        <w:rPr>
          <w:rFonts w:ascii="Alef" w:hAnsi="Alef" w:cs="Alef"/>
          <w:rtl/>
        </w:rPr>
        <w:t xml:space="preserve"> </w:t>
      </w:r>
      <w:r w:rsidRPr="00AE7DB0">
        <w:rPr>
          <w:rFonts w:ascii="Alef" w:hAnsi="Alef" w:cs="Alef" w:hint="eastAsia"/>
          <w:rtl/>
        </w:rPr>
        <w:t>תחרותית</w:t>
      </w:r>
      <w:r>
        <w:rPr>
          <w:rFonts w:ascii="Alef" w:hAnsi="Alef" w:cs="Alef" w:hint="cs"/>
          <w:rtl/>
        </w:rPr>
        <w:t xml:space="preserve"> בין צדדים לחבירה פוטנציאלית גם בעת ביצוע ההכנות להגשת בקשת פטור לחבירה במכרז ובעת יצירת מסגרת ההסכמות בין הצדדים לצורך הגשת בקשת פטור כאמור.</w:t>
      </w:r>
    </w:p>
    <w:p w:rsidR="003B55CE" w:rsidRDefault="003B55CE" w:rsidP="003B55CE">
      <w:pPr>
        <w:pStyle w:val="ListParagraph"/>
        <w:rPr>
          <w:rFonts w:ascii="Alef" w:hAnsi="Alef" w:cs="Alef"/>
          <w:rtl/>
        </w:rPr>
      </w:pPr>
    </w:p>
    <w:p w:rsidR="003B55CE" w:rsidRDefault="003B55CE" w:rsidP="003B55CE">
      <w:pPr>
        <w:rPr>
          <w:rFonts w:ascii="Alef" w:hAnsi="Alef" w:cs="Alef"/>
          <w:rtl/>
        </w:rPr>
      </w:pPr>
    </w:p>
    <w:p w:rsidR="003B55CE" w:rsidRPr="005E5B8B" w:rsidRDefault="003B55CE" w:rsidP="003B55CE">
      <w:pPr>
        <w:pStyle w:val="ListParagraph"/>
        <w:rPr>
          <w:rFonts w:ascii="Alef" w:hAnsi="Alef" w:cs="Alef"/>
        </w:rPr>
      </w:pPr>
      <w:r>
        <w:rPr>
          <w:rFonts w:ascii="Alef" w:hAnsi="Alef" w:cs="Alef" w:hint="cs"/>
          <w:rtl/>
        </w:rPr>
        <w:t xml:space="preserve"> </w:t>
      </w:r>
    </w:p>
    <w:p w:rsidR="003B55CE" w:rsidRPr="00373B11" w:rsidRDefault="003B55CE" w:rsidP="003B55CE">
      <w:pPr>
        <w:rPr>
          <w:rFonts w:ascii="Alef" w:hAnsi="Alef" w:cs="Alef"/>
          <w:rtl/>
        </w:rPr>
      </w:pPr>
    </w:p>
    <w:p w:rsidR="00733165" w:rsidRPr="003B55CE" w:rsidRDefault="00733165" w:rsidP="00E760F1">
      <w:pPr>
        <w:pStyle w:val="ListParagraph"/>
        <w:spacing w:after="120"/>
        <w:jc w:val="both"/>
        <w:rPr>
          <w:rFonts w:ascii="Alef" w:hAnsi="Alef" w:cs="Alef"/>
          <w:rtl/>
        </w:rPr>
      </w:pPr>
    </w:p>
    <w:sectPr w:rsidR="00733165" w:rsidRPr="003B55CE" w:rsidSect="00FC6A0D">
      <w:headerReference w:type="even" r:id="rId8"/>
      <w:headerReference w:type="default" r:id="rId9"/>
      <w:footerReference w:type="default" r:id="rId10"/>
      <w:headerReference w:type="first" r:id="rId11"/>
      <w:pgSz w:w="11906" w:h="16838"/>
      <w:pgMar w:top="1134" w:right="1800" w:bottom="993" w:left="1800" w:header="1183"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6E0" w:rsidRDefault="008916E0" w:rsidP="00D74B48">
      <w:pPr>
        <w:spacing w:after="0" w:line="240" w:lineRule="auto"/>
      </w:pPr>
      <w:r>
        <w:separator/>
      </w:r>
    </w:p>
  </w:endnote>
  <w:endnote w:type="continuationSeparator" w:id="0">
    <w:p w:rsidR="008916E0" w:rsidRDefault="008916E0" w:rsidP="00D7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altName w:val="Malgun Gothic Semilight"/>
    <w:panose1 w:val="020E0502060401010101"/>
    <w:charset w:val="00"/>
    <w:family w:val="swiss"/>
    <w:pitch w:val="variable"/>
    <w:sig w:usb0="00000803" w:usb1="00000000" w:usb2="00000000" w:usb3="00000000" w:csb0="00000021" w:csb1="00000000"/>
  </w:font>
  <w:font w:name="QSKDS Y+ Cambria">
    <w:altName w:val="Cambria"/>
    <w:panose1 w:val="00000000000000000000"/>
    <w:charset w:val="00"/>
    <w:family w:val="swiss"/>
    <w:notTrueType/>
    <w:pitch w:val="default"/>
    <w:sig w:usb0="00000003" w:usb1="00000000" w:usb2="00000000" w:usb3="00000000" w:csb0="00000001"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DB8" w:rsidRDefault="00664183" w:rsidP="00AD3572">
    <w:pPr>
      <w:pStyle w:val="Footer"/>
    </w:pPr>
    <w:r>
      <w:rPr>
        <w:noProof/>
      </w:rPr>
      <w:drawing>
        <wp:anchor distT="0" distB="0" distL="114300" distR="114300" simplePos="0" relativeHeight="251661312" behindDoc="1" locked="0" layoutInCell="1" allowOverlap="1" wp14:anchorId="1674B5DA" wp14:editId="16712D50">
          <wp:simplePos x="0" y="0"/>
          <wp:positionH relativeFrom="page">
            <wp:posOffset>8626</wp:posOffset>
          </wp:positionH>
          <wp:positionV relativeFrom="bottomMargin">
            <wp:posOffset>251287</wp:posOffset>
          </wp:positionV>
          <wp:extent cx="7237563" cy="894696"/>
          <wp:effectExtent l="0" t="0" r="0" b="1270"/>
          <wp:wrapNone/>
          <wp:docPr id="32" name="תמונה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17800" cy="904615"/>
                  </a:xfrm>
                  <a:prstGeom prst="rect">
                    <a:avLst/>
                  </a:prstGeom>
                </pic:spPr>
              </pic:pic>
            </a:graphicData>
          </a:graphic>
          <wp14:sizeRelH relativeFrom="page">
            <wp14:pctWidth>0</wp14:pctWidth>
          </wp14:sizeRelH>
          <wp14:sizeRelV relativeFrom="page">
            <wp14:pctHeight>0</wp14:pctHeight>
          </wp14:sizeRelV>
        </wp:anchor>
      </w:drawing>
    </w:r>
  </w:p>
  <w:p w:rsidR="009E5DB8" w:rsidRDefault="009E5DB8" w:rsidP="00AD3572">
    <w:pPr>
      <w:pStyle w:val="Footer"/>
    </w:pPr>
  </w:p>
  <w:p w:rsidR="009E5DB8" w:rsidRDefault="009E5DB8" w:rsidP="00AD3572">
    <w:pPr>
      <w:pStyle w:val="Footer"/>
    </w:pPr>
  </w:p>
  <w:p w:rsidR="009E78A7" w:rsidRDefault="009E78A7" w:rsidP="00AD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6E0" w:rsidRDefault="008916E0" w:rsidP="00D74B48">
      <w:pPr>
        <w:spacing w:after="0" w:line="240" w:lineRule="auto"/>
      </w:pPr>
      <w:r>
        <w:separator/>
      </w:r>
    </w:p>
  </w:footnote>
  <w:footnote w:type="continuationSeparator" w:id="0">
    <w:p w:rsidR="008916E0" w:rsidRDefault="008916E0" w:rsidP="00D74B48">
      <w:pPr>
        <w:spacing w:after="0" w:line="240" w:lineRule="auto"/>
      </w:pPr>
      <w:r>
        <w:continuationSeparator/>
      </w:r>
    </w:p>
  </w:footnote>
  <w:footnote w:id="1">
    <w:p w:rsidR="003B55CE" w:rsidRPr="009F28BD" w:rsidRDefault="003B55CE" w:rsidP="003B55CE">
      <w:pPr>
        <w:pStyle w:val="FootnoteText"/>
        <w:rPr>
          <w:rFonts w:ascii="Alef" w:hAnsi="Alef" w:cs="Alef"/>
        </w:rPr>
      </w:pPr>
      <w:r w:rsidRPr="009F28BD">
        <w:rPr>
          <w:rFonts w:ascii="Alef" w:hAnsi="Alef" w:cs="Alef"/>
        </w:rPr>
        <w:footnoteRef/>
      </w:r>
      <w:r w:rsidRPr="009F28BD">
        <w:rPr>
          <w:rFonts w:ascii="Alef" w:hAnsi="Alef" w:cs="Alef"/>
          <w:rtl/>
        </w:rPr>
        <w:t xml:space="preserve"> ראו סעיפים </w:t>
      </w:r>
      <w:r>
        <w:rPr>
          <w:rFonts w:ascii="Alef" w:hAnsi="Alef" w:cs="Alef" w:hint="cs"/>
          <w:rtl/>
        </w:rPr>
        <w:t>3(א)</w:t>
      </w:r>
      <w:r w:rsidRPr="009F28BD">
        <w:rPr>
          <w:rFonts w:ascii="Alef" w:hAnsi="Alef" w:cs="Alef"/>
          <w:rtl/>
        </w:rPr>
        <w:t>(4) ו9א ל</w:t>
      </w:r>
      <w:r>
        <w:rPr>
          <w:rFonts w:ascii="Alef" w:hAnsi="Alef" w:cs="Alef" w:hint="cs"/>
          <w:rtl/>
        </w:rPr>
        <w:t>כללי ההגבלים העסקיים (</w:t>
      </w:r>
      <w:r>
        <w:rPr>
          <w:rFonts w:ascii="Alef" w:hAnsi="Alef" w:cs="Alef"/>
          <w:rtl/>
        </w:rPr>
        <w:t xml:space="preserve">פטור </w:t>
      </w:r>
      <w:r w:rsidRPr="009F28BD">
        <w:rPr>
          <w:rFonts w:ascii="Alef" w:hAnsi="Alef" w:cs="Alef"/>
          <w:rtl/>
        </w:rPr>
        <w:t>סוג למיזמים משותפים</w:t>
      </w:r>
      <w:r>
        <w:rPr>
          <w:rFonts w:ascii="Alef" w:hAnsi="Alef" w:cs="Alef" w:hint="cs"/>
          <w:rtl/>
        </w:rPr>
        <w:t xml:space="preserve">) (הוראת שעה), </w:t>
      </w:r>
      <w:proofErr w:type="spellStart"/>
      <w:r>
        <w:rPr>
          <w:rFonts w:ascii="Alef" w:hAnsi="Alef" w:cs="Alef" w:hint="cs"/>
          <w:rtl/>
        </w:rPr>
        <w:t>התשס"ו</w:t>
      </w:r>
      <w:proofErr w:type="spellEnd"/>
      <w:r>
        <w:rPr>
          <w:rFonts w:ascii="Alef" w:hAnsi="Alef" w:cs="Alef" w:hint="cs"/>
          <w:rtl/>
        </w:rPr>
        <w:t xml:space="preserve"> - 2006</w:t>
      </w:r>
      <w:r w:rsidRPr="009F28BD">
        <w:rPr>
          <w:rFonts w:ascii="Alef" w:hAnsi="Alef" w:cs="Alef"/>
          <w:rtl/>
        </w:rPr>
        <w:t>.</w:t>
      </w:r>
    </w:p>
  </w:footnote>
  <w:footnote w:id="2">
    <w:p w:rsidR="003B55CE" w:rsidRPr="009F28BD" w:rsidRDefault="003B55CE" w:rsidP="003B55CE">
      <w:pPr>
        <w:pStyle w:val="FootnoteText"/>
        <w:rPr>
          <w:rFonts w:ascii="Alef" w:hAnsi="Alef" w:cs="Alef"/>
          <w:rtl/>
        </w:rPr>
      </w:pPr>
      <w:r w:rsidRPr="009F28BD">
        <w:rPr>
          <w:rFonts w:ascii="Alef" w:hAnsi="Alef" w:cs="Alef"/>
        </w:rPr>
        <w:footnoteRef/>
      </w:r>
      <w:r w:rsidRPr="009F28BD">
        <w:rPr>
          <w:rFonts w:ascii="Alef" w:hAnsi="Alef" w:cs="Alef"/>
          <w:rtl/>
        </w:rPr>
        <w:t xml:space="preserve"> כללי ההגבלים העסקיים (פטור סוג להסכמים שפגיעתם בתחרות קלת ערך) (הוראת שעה), התשס"ו-2006</w:t>
      </w:r>
      <w:r>
        <w:rPr>
          <w:rFonts w:ascii="Alef" w:hAnsi="Alef" w:cs="Alef" w:hint="cs"/>
          <w:rtl/>
        </w:rPr>
        <w:t xml:space="preserve"> ("</w:t>
      </w:r>
      <w:r w:rsidRPr="009F28BD">
        <w:rPr>
          <w:rFonts w:ascii="Alef" w:hAnsi="Alef" w:cs="Alef" w:hint="cs"/>
          <w:b/>
          <w:bCs/>
          <w:rtl/>
        </w:rPr>
        <w:t>פטור הסוג להסכמים שפגיעתם בתחרות קלת ערך</w:t>
      </w:r>
      <w:r>
        <w:rPr>
          <w:rFonts w:ascii="Alef" w:hAnsi="Alef" w:cs="Alef" w:hint="cs"/>
          <w:rtl/>
        </w:rPr>
        <w:t>").</w:t>
      </w:r>
    </w:p>
  </w:footnote>
  <w:footnote w:id="3">
    <w:p w:rsidR="003B55CE" w:rsidRPr="009F28BD" w:rsidRDefault="003B55CE" w:rsidP="003B55CE">
      <w:pPr>
        <w:pStyle w:val="FootnoteText"/>
        <w:rPr>
          <w:rFonts w:ascii="Alef" w:hAnsi="Alef" w:cs="Alef"/>
        </w:rPr>
      </w:pPr>
      <w:r w:rsidRPr="009F28BD">
        <w:rPr>
          <w:rStyle w:val="FootnoteReference"/>
          <w:rFonts w:ascii="Alef" w:hAnsi="Alef" w:cs="Alef"/>
        </w:rPr>
        <w:footnoteRef/>
      </w:r>
      <w:r w:rsidRPr="009F28BD">
        <w:rPr>
          <w:rFonts w:ascii="Alef" w:hAnsi="Alef" w:cs="Alef"/>
          <w:rtl/>
        </w:rPr>
        <w:t xml:space="preserve"> ראו סעיפים 2 ו- 5 לפטור </w:t>
      </w:r>
      <w:r>
        <w:rPr>
          <w:rFonts w:ascii="Alef" w:hAnsi="Alef" w:cs="Alef" w:hint="cs"/>
          <w:rtl/>
        </w:rPr>
        <w:t xml:space="preserve">הסוג להסכמים שפגיעתם בתחרות קלת ערך. להרחבה על ניתוח הסעיפים הרלוונטיים בפטור הסוג להסכמים שפגיעתם בתחרות קלת ערך ראו גילוי דעת 1/18 בעניין פרשנות סעיף 14(א)(2) וסעיף 15א(א)(2) לחוק ההגבלים העסקיים, תשמ"ח-1988 וסעיפים מקבילים בכללי פטור סוג, </w:t>
      </w:r>
      <w:r w:rsidRPr="00287CDC">
        <w:rPr>
          <w:rFonts w:ascii="Alef" w:hAnsi="Alef" w:cs="Alef" w:hint="cs"/>
          <w:rtl/>
        </w:rPr>
        <w:t>(5.11.2018)</w:t>
      </w:r>
      <w:r>
        <w:rPr>
          <w:rFonts w:ascii="Alef" w:hAnsi="Alef" w:cs="Alef" w:hint="cs"/>
          <w:b/>
          <w:bCs/>
          <w:rtl/>
        </w:rPr>
        <w:t xml:space="preserve"> הגבלים עסקיים, </w:t>
      </w:r>
      <w:r w:rsidRPr="00287CDC">
        <w:rPr>
          <w:rFonts w:ascii="Alef" w:hAnsi="Alef" w:cs="Alef" w:hint="cs"/>
          <w:rtl/>
        </w:rPr>
        <w:t>501593</w:t>
      </w:r>
      <w:r>
        <w:rPr>
          <w:rFonts w:ascii="Alef" w:hAnsi="Alef" w:cs="Alef" w:hint="cs"/>
          <w:rtl/>
        </w:rPr>
        <w:t>.</w:t>
      </w:r>
    </w:p>
  </w:footnote>
  <w:footnote w:id="4">
    <w:p w:rsidR="003B55CE" w:rsidRDefault="003B55CE" w:rsidP="003B55CE">
      <w:pPr>
        <w:pStyle w:val="FootnoteText"/>
        <w:rPr>
          <w:rtl/>
        </w:rPr>
      </w:pPr>
      <w:r>
        <w:rPr>
          <w:rStyle w:val="FootnoteReference"/>
        </w:rPr>
        <w:footnoteRef/>
      </w:r>
      <w:r>
        <w:rPr>
          <w:rtl/>
        </w:rPr>
        <w:t xml:space="preserve"> </w:t>
      </w:r>
      <w:r w:rsidRPr="0098582E">
        <w:rPr>
          <w:rFonts w:ascii="Alef" w:hAnsi="Alef" w:cs="Alef" w:hint="cs"/>
          <w:rtl/>
        </w:rPr>
        <w:t xml:space="preserve">ראו סעיף 5 לכללי ההגבלים העסקיים (הוראות והגדרות כלליות), תשס"א 2001.  </w:t>
      </w:r>
    </w:p>
  </w:footnote>
  <w:footnote w:id="5">
    <w:p w:rsidR="003B55CE" w:rsidRDefault="003B55CE" w:rsidP="003B55CE">
      <w:pPr>
        <w:pStyle w:val="FootnoteText"/>
        <w:rPr>
          <w:rtl/>
        </w:rPr>
      </w:pPr>
      <w:r>
        <w:rPr>
          <w:rStyle w:val="FootnoteReference"/>
        </w:rPr>
        <w:footnoteRef/>
      </w:r>
      <w:r>
        <w:rPr>
          <w:rtl/>
        </w:rPr>
        <w:t xml:space="preserve"> </w:t>
      </w:r>
      <w:r w:rsidRPr="001025A1">
        <w:rPr>
          <w:rFonts w:ascii="Alef" w:hAnsi="Alef" w:cs="Alef" w:hint="cs"/>
          <w:b/>
          <w:rtl/>
        </w:rPr>
        <w:t>למעט אם הצדדים איחדו את כ</w:t>
      </w:r>
      <w:r>
        <w:rPr>
          <w:rFonts w:ascii="Alef" w:hAnsi="Alef" w:cs="Alef" w:hint="cs"/>
          <w:b/>
          <w:rtl/>
        </w:rPr>
        <w:t>ל פעילות הייצור שלהם</w:t>
      </w:r>
      <w:r w:rsidRPr="001025A1">
        <w:rPr>
          <w:rFonts w:ascii="Alef" w:hAnsi="Alef" w:cs="Alef" w:hint="cs"/>
          <w:b/>
          <w:rtl/>
        </w:rPr>
        <w:t xml:space="preserve">. </w:t>
      </w:r>
    </w:p>
  </w:footnote>
  <w:footnote w:id="6">
    <w:p w:rsidR="003B55CE" w:rsidRDefault="003B55CE" w:rsidP="003B55CE">
      <w:pPr>
        <w:pStyle w:val="FootnoteText"/>
        <w:rPr>
          <w:rtl/>
        </w:rPr>
      </w:pPr>
      <w:r>
        <w:rPr>
          <w:rStyle w:val="FootnoteReference"/>
        </w:rPr>
        <w:footnoteRef/>
      </w:r>
      <w:r>
        <w:rPr>
          <w:rtl/>
        </w:rPr>
        <w:t xml:space="preserve"> </w:t>
      </w:r>
      <w:r w:rsidRPr="001025A1">
        <w:rPr>
          <w:rFonts w:ascii="Alef" w:hAnsi="Alef" w:cs="Alef" w:hint="cs"/>
          <w:b/>
          <w:rtl/>
        </w:rPr>
        <w:t>ע"פ 5672/05</w:t>
      </w:r>
      <w:r>
        <w:rPr>
          <w:rFonts w:ascii="Alef" w:hAnsi="Alef" w:cs="Alef" w:hint="cs"/>
          <w:b/>
          <w:rtl/>
        </w:rPr>
        <w:t xml:space="preserve"> </w:t>
      </w:r>
      <w:proofErr w:type="spellStart"/>
      <w:r w:rsidRPr="00C92D67">
        <w:rPr>
          <w:rFonts w:ascii="Alef" w:hAnsi="Alef" w:cs="Alef" w:hint="cs"/>
          <w:bCs/>
          <w:rtl/>
        </w:rPr>
        <w:t>טגר</w:t>
      </w:r>
      <w:proofErr w:type="spellEnd"/>
      <w:r w:rsidRPr="00C92D67">
        <w:rPr>
          <w:rFonts w:ascii="Alef" w:hAnsi="Alef" w:cs="Alef" w:hint="cs"/>
          <w:bCs/>
          <w:rtl/>
        </w:rPr>
        <w:t xml:space="preserve"> בע"מ, אהוד ארזי נגד מדינת ישראל</w:t>
      </w:r>
      <w:r w:rsidRPr="001025A1">
        <w:rPr>
          <w:rFonts w:ascii="Alef" w:hAnsi="Alef" w:cs="Alef" w:hint="cs"/>
          <w:b/>
          <w:rtl/>
        </w:rPr>
        <w:t xml:space="preserve"> פסקאות 43-44, 47-48 לפסק דינה של השופטת </w:t>
      </w:r>
      <w:proofErr w:type="spellStart"/>
      <w:r w:rsidRPr="001025A1">
        <w:rPr>
          <w:rFonts w:ascii="Alef" w:hAnsi="Alef" w:cs="Alef" w:hint="cs"/>
          <w:b/>
          <w:rtl/>
        </w:rPr>
        <w:t>ברלינר</w:t>
      </w:r>
      <w:proofErr w:type="spellEnd"/>
      <w:r w:rsidRPr="001025A1">
        <w:rPr>
          <w:rFonts w:ascii="Alef" w:hAnsi="Alef" w:cs="Alef" w:hint="cs"/>
          <w:b/>
          <w:rtl/>
        </w:rPr>
        <w:t xml:space="preserve"> (פורסם בנבו, 21.10.07); ת"פ (מחוזי-י-ם) 385/98 </w:t>
      </w:r>
      <w:r w:rsidRPr="001025A1">
        <w:rPr>
          <w:rFonts w:ascii="Alef" w:hAnsi="Alef" w:cs="Alef" w:hint="cs"/>
          <w:bCs/>
          <w:rtl/>
        </w:rPr>
        <w:t xml:space="preserve">מדינת ישראל נ' חברת </w:t>
      </w:r>
      <w:proofErr w:type="spellStart"/>
      <w:r w:rsidRPr="001025A1">
        <w:rPr>
          <w:rFonts w:ascii="Alef" w:hAnsi="Alef" w:cs="Alef" w:hint="cs"/>
          <w:bCs/>
          <w:rtl/>
        </w:rPr>
        <w:t>טגר</w:t>
      </w:r>
      <w:proofErr w:type="spellEnd"/>
      <w:r w:rsidRPr="001025A1">
        <w:rPr>
          <w:rFonts w:ascii="Alef" w:hAnsi="Alef" w:cs="Alef" w:hint="cs"/>
          <w:bCs/>
          <w:rtl/>
        </w:rPr>
        <w:t xml:space="preserve"> בע"מ</w:t>
      </w:r>
      <w:r w:rsidRPr="001025A1">
        <w:rPr>
          <w:rFonts w:ascii="Alef" w:hAnsi="Alef" w:cs="Alef" w:hint="cs"/>
          <w:b/>
          <w:rtl/>
        </w:rPr>
        <w:t xml:space="preserve"> סעיפים 4-5, 81-98 לפסק הדין (פורסם בנבו, 10.2.2005).</w:t>
      </w:r>
      <w:r>
        <w:rPr>
          <w:rFonts w:hint="cs"/>
          <w:rtl/>
        </w:rPr>
        <w:t xml:space="preserve">  </w:t>
      </w:r>
    </w:p>
  </w:footnote>
  <w:footnote w:id="7">
    <w:p w:rsidR="0003019C" w:rsidRPr="009F28BD" w:rsidRDefault="0003019C" w:rsidP="0003019C">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w:t>
      </w:r>
      <w:r w:rsidRPr="009F28BD">
        <w:rPr>
          <w:rFonts w:ascii="Alef" w:hAnsi="Alef" w:cs="Alef"/>
          <w:color w:val="181818"/>
          <w:shd w:val="clear" w:color="auto" w:fill="FFFFFF"/>
          <w:rtl/>
        </w:rPr>
        <w:t xml:space="preserve">ע"פ 2560/08 - </w:t>
      </w:r>
      <w:r w:rsidRPr="009F28BD">
        <w:rPr>
          <w:rFonts w:ascii="Alef" w:hAnsi="Alef" w:cs="Alef"/>
          <w:b/>
          <w:bCs/>
          <w:color w:val="181818"/>
          <w:shd w:val="clear" w:color="auto" w:fill="FFFFFF"/>
          <w:rtl/>
        </w:rPr>
        <w:t>מדינת ישראל - רשות ההגבלים העסקיים נ' ירון וול ואח'</w:t>
      </w:r>
      <w:r w:rsidRPr="009F28BD">
        <w:rPr>
          <w:rFonts w:ascii="Alef" w:hAnsi="Alef" w:cs="Alef"/>
          <w:color w:val="181818"/>
          <w:shd w:val="clear" w:color="auto" w:fill="FFFFFF"/>
          <w:rtl/>
        </w:rPr>
        <w:t xml:space="preserve">, </w:t>
      </w:r>
      <w:r w:rsidRPr="009F28BD">
        <w:rPr>
          <w:rFonts w:ascii="Alef" w:hAnsi="Alef" w:cs="Alef"/>
          <w:b/>
          <w:rtl/>
        </w:rPr>
        <w:t xml:space="preserve">תק-על (2009) 149 </w:t>
      </w:r>
      <w:r w:rsidRPr="009F28BD">
        <w:rPr>
          <w:rFonts w:ascii="Alef" w:hAnsi="Alef" w:cs="Alef"/>
          <w:color w:val="181818"/>
          <w:shd w:val="clear" w:color="auto" w:fill="FFFFFF"/>
          <w:rtl/>
        </w:rPr>
        <w:t>פסקה צ"ז</w:t>
      </w:r>
      <w:r>
        <w:rPr>
          <w:rFonts w:ascii="Alef" w:hAnsi="Alef" w:cs="Alef" w:hint="cs"/>
          <w:color w:val="181818"/>
          <w:shd w:val="clear" w:color="auto" w:fill="FFFFFF"/>
          <w:rtl/>
        </w:rPr>
        <w:t xml:space="preserve">; </w:t>
      </w:r>
      <w:r w:rsidRPr="001F35B2">
        <w:rPr>
          <w:rFonts w:ascii="Alef" w:hAnsi="Alef" w:cs="Alef"/>
          <w:kern w:val="36"/>
          <w:rtl/>
        </w:rPr>
        <w:t xml:space="preserve">נימוקי ההחלטה בדבר התנגדות למיזוג בין: אלקטרה בע"מ, </w:t>
      </w:r>
      <w:proofErr w:type="spellStart"/>
      <w:r w:rsidRPr="001F35B2">
        <w:rPr>
          <w:rFonts w:ascii="Alef" w:hAnsi="Alef" w:cs="Alef"/>
          <w:kern w:val="36"/>
          <w:rtl/>
        </w:rPr>
        <w:t>דלקיה</w:t>
      </w:r>
      <w:proofErr w:type="spellEnd"/>
      <w:r w:rsidRPr="001F35B2">
        <w:rPr>
          <w:rFonts w:ascii="Alef" w:hAnsi="Alef" w:cs="Alef"/>
          <w:kern w:val="36"/>
          <w:rtl/>
        </w:rPr>
        <w:t xml:space="preserve"> אנרגיה ושירותים בע"מ</w:t>
      </w:r>
      <w:r>
        <w:rPr>
          <w:rFonts w:ascii="Alef" w:hAnsi="Alef" w:cs="Alef" w:hint="cs"/>
          <w:kern w:val="36"/>
          <w:rtl/>
        </w:rPr>
        <w:t xml:space="preserve"> (24.5.2012), </w:t>
      </w:r>
      <w:r>
        <w:rPr>
          <w:rFonts w:ascii="Alef" w:hAnsi="Alef" w:cs="Alef" w:hint="cs"/>
          <w:b/>
          <w:bCs/>
          <w:kern w:val="36"/>
          <w:rtl/>
        </w:rPr>
        <w:t xml:space="preserve">הגבלים עסקיים, </w:t>
      </w:r>
      <w:r w:rsidRPr="001F35B2">
        <w:rPr>
          <w:rFonts w:ascii="Alef" w:hAnsi="Alef" w:cs="Alef" w:hint="cs"/>
          <w:kern w:val="36"/>
          <w:rtl/>
        </w:rPr>
        <w:t>5001957</w:t>
      </w:r>
      <w:r>
        <w:rPr>
          <w:rFonts w:ascii="Alef" w:hAnsi="Alef" w:cs="Alef" w:hint="cs"/>
          <w:rtl/>
        </w:rPr>
        <w:t xml:space="preserve"> ("</w:t>
      </w:r>
      <w:r>
        <w:rPr>
          <w:rFonts w:ascii="Alef" w:hAnsi="Alef" w:cs="Alef" w:hint="cs"/>
          <w:b/>
          <w:bCs/>
          <w:rtl/>
        </w:rPr>
        <w:t>החלטה ב</w:t>
      </w:r>
      <w:r w:rsidRPr="008B5244">
        <w:rPr>
          <w:rFonts w:ascii="Alef" w:hAnsi="Alef" w:cs="Alef" w:hint="cs"/>
          <w:b/>
          <w:bCs/>
          <w:rtl/>
        </w:rPr>
        <w:t xml:space="preserve">עניין אלקטרה </w:t>
      </w:r>
      <w:proofErr w:type="spellStart"/>
      <w:r w:rsidRPr="008B5244">
        <w:rPr>
          <w:rFonts w:ascii="Alef" w:hAnsi="Alef" w:cs="Alef" w:hint="cs"/>
          <w:b/>
          <w:bCs/>
          <w:rtl/>
        </w:rPr>
        <w:t>דלקיה</w:t>
      </w:r>
      <w:proofErr w:type="spellEnd"/>
      <w:r>
        <w:rPr>
          <w:rFonts w:ascii="Alef" w:hAnsi="Alef" w:cs="Alef" w:hint="cs"/>
          <w:rtl/>
        </w:rPr>
        <w:t>").</w:t>
      </w:r>
    </w:p>
  </w:footnote>
  <w:footnote w:id="8">
    <w:p w:rsidR="003B55CE"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w:t>
      </w:r>
      <w:r>
        <w:rPr>
          <w:rFonts w:ascii="Alef" w:hAnsi="Alef" w:cs="Alef"/>
        </w:rPr>
        <w:t>Joint Bidding Under Competition Law, Danish Competition and Consumer Authority, Guidelines, 2018, pages 10-</w:t>
      </w:r>
      <w:proofErr w:type="gramStart"/>
      <w:r>
        <w:rPr>
          <w:rFonts w:ascii="Alef" w:hAnsi="Alef" w:cs="Alef"/>
        </w:rPr>
        <w:t xml:space="preserve">20 </w:t>
      </w:r>
      <w:r>
        <w:rPr>
          <w:rFonts w:ascii="Alef" w:hAnsi="Alef" w:cs="Alef" w:hint="cs"/>
          <w:rtl/>
        </w:rPr>
        <w:t xml:space="preserve"> (</w:t>
      </w:r>
      <w:proofErr w:type="gramEnd"/>
      <w:r>
        <w:rPr>
          <w:rFonts w:ascii="Alef" w:hAnsi="Alef" w:cs="Alef" w:hint="cs"/>
          <w:rtl/>
        </w:rPr>
        <w:t>"</w:t>
      </w:r>
      <w:r w:rsidRPr="00CE4AF9">
        <w:rPr>
          <w:rFonts w:ascii="Alef" w:hAnsi="Alef" w:cs="Alef" w:hint="cs"/>
          <w:b/>
          <w:bCs/>
          <w:rtl/>
        </w:rPr>
        <w:t>ההנחיות הדניות</w:t>
      </w:r>
      <w:r>
        <w:rPr>
          <w:rFonts w:ascii="Alef" w:hAnsi="Alef" w:cs="Alef" w:hint="cs"/>
          <w:rtl/>
        </w:rPr>
        <w:t>").</w:t>
      </w:r>
    </w:p>
    <w:p w:rsidR="003B55CE" w:rsidRPr="009F28BD" w:rsidRDefault="003B55CE" w:rsidP="003B55CE">
      <w:pPr>
        <w:pStyle w:val="FootnoteText"/>
        <w:rPr>
          <w:rFonts w:ascii="Alef" w:hAnsi="Alef" w:cs="Alef"/>
          <w:rtl/>
        </w:rPr>
      </w:pPr>
      <w:r w:rsidRPr="009F28BD">
        <w:rPr>
          <w:rFonts w:ascii="Alef" w:hAnsi="Alef" w:cs="Alef"/>
          <w:rtl/>
        </w:rPr>
        <w:t xml:space="preserve"> </w:t>
      </w:r>
      <w:hyperlink r:id="rId1" w:history="1">
        <w:r w:rsidRPr="009F28BD">
          <w:rPr>
            <w:rStyle w:val="Hyperlink"/>
            <w:rFonts w:ascii="Alef" w:hAnsi="Alef" w:cs="Alef"/>
          </w:rPr>
          <w:t>https://www.en.kfst.dk/media/50765/050718_joint-bidding-guidelines.pdf</w:t>
        </w:r>
      </w:hyperlink>
    </w:p>
    <w:p w:rsidR="003B55CE" w:rsidRPr="00F43EEA" w:rsidRDefault="003B55CE" w:rsidP="003B55CE">
      <w:pPr>
        <w:pStyle w:val="Heading2"/>
        <w:jc w:val="both"/>
        <w:textAlignment w:val="baseline"/>
        <w:rPr>
          <w:rFonts w:ascii="Alef" w:eastAsiaTheme="minorHAnsi" w:hAnsi="Alef" w:cs="Alef"/>
          <w:color w:val="auto"/>
          <w:sz w:val="20"/>
          <w:szCs w:val="20"/>
          <w:rtl/>
        </w:rPr>
      </w:pPr>
      <w:r>
        <w:rPr>
          <w:rFonts w:ascii="Alef" w:eastAsiaTheme="minorHAnsi" w:hAnsi="Alef" w:cs="Alef" w:hint="cs"/>
          <w:color w:val="auto"/>
          <w:sz w:val="20"/>
          <w:szCs w:val="20"/>
        </w:rPr>
        <w:t>EF</w:t>
      </w:r>
      <w:r>
        <w:rPr>
          <w:rFonts w:ascii="Alef" w:eastAsiaTheme="minorHAnsi" w:hAnsi="Alef" w:cs="Alef"/>
          <w:color w:val="auto"/>
          <w:sz w:val="20"/>
          <w:szCs w:val="20"/>
        </w:rPr>
        <w:t xml:space="preserve">TA Court judgement of 22 December 2016, Ski Taxi SA v Norwegian Government E – 3/16 </w:t>
      </w:r>
    </w:p>
  </w:footnote>
  <w:footnote w:id="9">
    <w:p w:rsidR="0003019C" w:rsidRPr="000944D1" w:rsidRDefault="0003019C" w:rsidP="0003019C">
      <w:pPr>
        <w:pStyle w:val="Default"/>
        <w:bidi/>
        <w:jc w:val="both"/>
        <w:rPr>
          <w:rFonts w:ascii="Alef" w:hAnsi="Alef" w:cs="Alef"/>
          <w:color w:val="auto"/>
          <w:sz w:val="20"/>
          <w:szCs w:val="20"/>
          <w:rtl/>
        </w:rPr>
      </w:pPr>
      <w:r w:rsidRPr="000944D1">
        <w:rPr>
          <w:rStyle w:val="FootnoteReference"/>
          <w:rFonts w:ascii="Alef" w:hAnsi="Alef" w:cs="Alef"/>
        </w:rPr>
        <w:footnoteRef/>
      </w:r>
      <w:r w:rsidRPr="00B8425F">
        <w:rPr>
          <w:rFonts w:ascii="Alef" w:hAnsi="Alef" w:cs="Alef"/>
          <w:color w:val="auto"/>
          <w:sz w:val="20"/>
          <w:szCs w:val="20"/>
          <w:rtl/>
        </w:rPr>
        <w:t xml:space="preserve"> </w:t>
      </w:r>
      <w:r w:rsidRPr="00065E96">
        <w:rPr>
          <w:rFonts w:ascii="Alef" w:hAnsi="Alef" w:cs="Alef"/>
          <w:color w:val="auto"/>
          <w:sz w:val="20"/>
          <w:szCs w:val="20"/>
        </w:rPr>
        <w:t>Decision of the</w:t>
      </w:r>
      <w:r>
        <w:rPr>
          <w:rFonts w:ascii="Alef" w:hAnsi="Alef" w:cs="Alef"/>
          <w:color w:val="auto"/>
          <w:sz w:val="20"/>
          <w:szCs w:val="20"/>
        </w:rPr>
        <w:t xml:space="preserve"> Danish</w:t>
      </w:r>
      <w:r w:rsidRPr="00065E96">
        <w:rPr>
          <w:rFonts w:ascii="Alef" w:hAnsi="Alef" w:cs="Alef"/>
          <w:color w:val="auto"/>
          <w:sz w:val="20"/>
          <w:szCs w:val="20"/>
        </w:rPr>
        <w:t xml:space="preserve"> Competition Council of 24 June 2015, Dansk </w:t>
      </w:r>
      <w:proofErr w:type="spellStart"/>
      <w:r w:rsidRPr="00065E96">
        <w:rPr>
          <w:rFonts w:ascii="Alef" w:hAnsi="Alef" w:cs="Alef"/>
          <w:color w:val="auto"/>
          <w:sz w:val="20"/>
          <w:szCs w:val="20"/>
        </w:rPr>
        <w:t>Vejmarkerings</w:t>
      </w:r>
      <w:proofErr w:type="spellEnd"/>
      <w:r w:rsidRPr="00065E96">
        <w:rPr>
          <w:rFonts w:ascii="Alef" w:hAnsi="Alef" w:cs="Alef"/>
          <w:color w:val="auto"/>
          <w:sz w:val="20"/>
          <w:szCs w:val="20"/>
        </w:rPr>
        <w:t xml:space="preserve"> </w:t>
      </w:r>
      <w:proofErr w:type="spellStart"/>
      <w:r w:rsidRPr="00065E96">
        <w:rPr>
          <w:rFonts w:ascii="Alef" w:hAnsi="Alef" w:cs="Alef"/>
          <w:color w:val="auto"/>
          <w:sz w:val="20"/>
          <w:szCs w:val="20"/>
        </w:rPr>
        <w:t>Konsortium</w:t>
      </w:r>
      <w:proofErr w:type="spellEnd"/>
      <w:r w:rsidRPr="00B8425F">
        <w:rPr>
          <w:rFonts w:ascii="Alef" w:hAnsi="Alef" w:cs="Alef" w:hint="cs"/>
          <w:color w:val="auto"/>
          <w:sz w:val="20"/>
          <w:szCs w:val="20"/>
          <w:rtl/>
        </w:rPr>
        <w:t xml:space="preserve">; </w:t>
      </w:r>
      <w:r>
        <w:rPr>
          <w:rFonts w:ascii="Alef" w:hAnsi="Alef" w:cs="Alef" w:hint="cs"/>
          <w:color w:val="auto"/>
          <w:sz w:val="20"/>
          <w:szCs w:val="20"/>
        </w:rPr>
        <w:t>N</w:t>
      </w:r>
      <w:r>
        <w:rPr>
          <w:rFonts w:ascii="Alef" w:hAnsi="Alef" w:cs="Alef"/>
          <w:color w:val="auto"/>
          <w:sz w:val="20"/>
          <w:szCs w:val="20"/>
        </w:rPr>
        <w:t>orwegian Competition Appeal Tribunal, case 2018/113, El-</w:t>
      </w:r>
      <w:proofErr w:type="spellStart"/>
      <w:r>
        <w:rPr>
          <w:rFonts w:ascii="Alef" w:hAnsi="Alef" w:cs="Alef"/>
          <w:color w:val="auto"/>
          <w:sz w:val="20"/>
          <w:szCs w:val="20"/>
        </w:rPr>
        <w:t>Proffen</w:t>
      </w:r>
      <w:proofErr w:type="spellEnd"/>
      <w:r>
        <w:rPr>
          <w:rFonts w:ascii="Alef" w:hAnsi="Alef" w:cs="Alef"/>
          <w:color w:val="auto"/>
          <w:sz w:val="20"/>
          <w:szCs w:val="20"/>
        </w:rPr>
        <w:t xml:space="preserve"> AS</w:t>
      </w:r>
      <w:r>
        <w:rPr>
          <w:rFonts w:ascii="Alef" w:hAnsi="Alef" w:cs="Alef" w:hint="cs"/>
          <w:color w:val="auto"/>
          <w:sz w:val="20"/>
          <w:szCs w:val="20"/>
          <w:rtl/>
        </w:rPr>
        <w:t xml:space="preserve"> </w:t>
      </w:r>
    </w:p>
  </w:footnote>
  <w:footnote w:id="10">
    <w:p w:rsidR="003B55CE" w:rsidRPr="009F28BD" w:rsidRDefault="003B55CE" w:rsidP="003B55CE">
      <w:pPr>
        <w:pStyle w:val="FootnoteText"/>
        <w:rPr>
          <w:rFonts w:ascii="Alef" w:hAnsi="Alef" w:cs="Alef"/>
        </w:rPr>
      </w:pPr>
      <w:r w:rsidRPr="009F28BD">
        <w:rPr>
          <w:rStyle w:val="FootnoteReference"/>
          <w:rFonts w:ascii="Alef" w:hAnsi="Alef" w:cs="Alef"/>
        </w:rPr>
        <w:footnoteRef/>
      </w:r>
      <w:r w:rsidRPr="009F28BD">
        <w:rPr>
          <w:rFonts w:ascii="Alef" w:hAnsi="Alef" w:cs="Alef"/>
          <w:rtl/>
        </w:rPr>
        <w:t xml:space="preserve"> בחינה של חבירה בין גורמים שאינם מתחרים תיעשה בהתאם לכללי פטור הסוג למיזמים משותפים</w:t>
      </w:r>
      <w:r w:rsidR="00312B0B">
        <w:rPr>
          <w:rFonts w:ascii="Alef" w:hAnsi="Alef" w:cs="Alef" w:hint="cs"/>
          <w:rtl/>
        </w:rPr>
        <w:t>,</w:t>
      </w:r>
      <w:r w:rsidRPr="009F28BD">
        <w:rPr>
          <w:rFonts w:ascii="Alef" w:hAnsi="Alef" w:cs="Alef"/>
          <w:rtl/>
        </w:rPr>
        <w:t xml:space="preserve"> ככל שהצדדים מתחרים זה בזה מחוץ </w:t>
      </w:r>
      <w:r>
        <w:rPr>
          <w:rFonts w:ascii="Alef" w:hAnsi="Alef" w:cs="Alef" w:hint="cs"/>
          <w:rtl/>
        </w:rPr>
        <w:t>לתחום הפעילות בו עוסק</w:t>
      </w:r>
      <w:r w:rsidRPr="009F28BD">
        <w:rPr>
          <w:rFonts w:ascii="Alef" w:hAnsi="Alef" w:cs="Alef"/>
          <w:rtl/>
        </w:rPr>
        <w:t xml:space="preserve"> המכרז</w:t>
      </w:r>
      <w:r w:rsidR="00312B0B">
        <w:rPr>
          <w:rFonts w:ascii="Alef" w:hAnsi="Alef" w:cs="Alef" w:hint="cs"/>
          <w:rtl/>
        </w:rPr>
        <w:t>,</w:t>
      </w:r>
      <w:r w:rsidRPr="009F28BD">
        <w:rPr>
          <w:rFonts w:ascii="Alef" w:hAnsi="Alef" w:cs="Alef"/>
          <w:rtl/>
        </w:rPr>
        <w:t xml:space="preserve"> או בהתאם לכללי ההגבלים העסקיים (פטור סוג להסדרים שאינם אופקיים ואין בהם כבילת מחיר מסוימות) (הוראת שעה), תשע"ג – 2013 ככל שהצדדים מצויים בקשר אנכי או משלים ביניהם. אין משמעות הדבר שחבירה כזאת אינה מעלה לעיתים קושי תחרותי</w:t>
      </w:r>
      <w:r>
        <w:rPr>
          <w:rFonts w:ascii="Alef" w:hAnsi="Alef" w:cs="Alef" w:hint="cs"/>
          <w:rtl/>
        </w:rPr>
        <w:t xml:space="preserve"> והצדדים צריכים לבחון אם מתקיימים התנאים המאפשרים לחבירה ביניהם לחסות תחת פטור סוג</w:t>
      </w:r>
      <w:r w:rsidRPr="009F28BD">
        <w:rPr>
          <w:rFonts w:ascii="Alef" w:hAnsi="Alef" w:cs="Alef"/>
          <w:rtl/>
        </w:rPr>
        <w:t xml:space="preserve">.  </w:t>
      </w:r>
    </w:p>
  </w:footnote>
  <w:footnote w:id="11">
    <w:p w:rsidR="003B55CE" w:rsidRPr="009F28BD"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w:t>
      </w:r>
      <w:r w:rsidRPr="00FC3BF6">
        <w:rPr>
          <w:rFonts w:ascii="Alef" w:hAnsi="Alef" w:cs="Alef"/>
          <w:rtl/>
        </w:rPr>
        <w:t>בדיקות שערכה רשות התחרות מול גורמים שונים הנוהגים לערוך מיון מוקדם טרם עריכת המכרז עצמו כגון משרד הביטחון, החשב הכללי, חברת חשמל, לימדו כי שלבי המיון המוקדם שונים זה מזה ברמת דרישות הסף שהם מציבים לניגשים אליהם. שלבי המיון המוקדם גם שונים זה מזה ברמת הוודאות שהם נותנים לניגשים להם לגבי תוכנו של המכרז הסופי והם שונים זה מזה במשך הזמן שעובר בין שלב המיון המוקדם לשלב המכרז עצמו.</w:t>
      </w:r>
      <w:r w:rsidRPr="009F28BD">
        <w:rPr>
          <w:rFonts w:ascii="Alef" w:hAnsi="Alef" w:cs="Alef"/>
          <w:rtl/>
        </w:rPr>
        <w:t xml:space="preserve"> </w:t>
      </w:r>
    </w:p>
  </w:footnote>
  <w:footnote w:id="12">
    <w:p w:rsidR="003B55CE" w:rsidRDefault="003B55CE" w:rsidP="003B55CE">
      <w:pPr>
        <w:pStyle w:val="FootnoteText"/>
      </w:pPr>
      <w:r>
        <w:rPr>
          <w:rStyle w:val="FootnoteReference"/>
        </w:rPr>
        <w:footnoteRef/>
      </w:r>
      <w:r>
        <w:rPr>
          <w:rtl/>
        </w:rPr>
        <w:t xml:space="preserve"> </w:t>
      </w:r>
      <w:r w:rsidRPr="00465A57">
        <w:rPr>
          <w:rFonts w:ascii="Alef" w:hAnsi="Alef" w:cs="Alef" w:hint="cs"/>
          <w:rtl/>
        </w:rPr>
        <w:t xml:space="preserve">למעט אם מדובר במכרז רכש </w:t>
      </w:r>
      <w:r>
        <w:rPr>
          <w:rFonts w:ascii="Alef" w:hAnsi="Alef" w:cs="Alef" w:hint="cs"/>
          <w:rtl/>
        </w:rPr>
        <w:t>שלא ניתן לצפות מראש ששיווקו או שיווק הטובין המופקים באמצעותו יתבצע במשותף על ידי המתחרים או שלצורך שיווקו קיים צורך להגיע להסכמות מסחריות בין המתחרים (ראו עמוד 2 לעיל).</w:t>
      </w:r>
    </w:p>
  </w:footnote>
  <w:footnote w:id="13">
    <w:p w:rsidR="003B55CE" w:rsidRPr="00A60FD1" w:rsidRDefault="003B55CE" w:rsidP="003B55CE">
      <w:pPr>
        <w:pStyle w:val="Heading1"/>
        <w:shd w:val="clear" w:color="auto" w:fill="FFFFFF"/>
        <w:bidi/>
        <w:spacing w:before="0" w:beforeAutospacing="0" w:after="0" w:afterAutospacing="0"/>
        <w:contextualSpacing/>
        <w:jc w:val="both"/>
        <w:rPr>
          <w:rFonts w:ascii="Alef" w:eastAsiaTheme="minorHAnsi" w:hAnsi="Alef" w:cs="Alef"/>
          <w:b w:val="0"/>
          <w:bCs w:val="0"/>
          <w:kern w:val="0"/>
          <w:sz w:val="20"/>
          <w:szCs w:val="20"/>
          <w:rtl/>
        </w:rPr>
      </w:pPr>
      <w:r w:rsidRPr="002C3BC8">
        <w:rPr>
          <w:rStyle w:val="FootnoteReference"/>
          <w:rFonts w:ascii="Alef" w:eastAsiaTheme="minorHAnsi" w:hAnsi="Alef" w:cs="Alef"/>
          <w:b w:val="0"/>
          <w:bCs w:val="0"/>
          <w:kern w:val="0"/>
          <w:sz w:val="20"/>
          <w:szCs w:val="20"/>
        </w:rPr>
        <w:footnoteRef/>
      </w:r>
      <w:r w:rsidRPr="002C3BC8">
        <w:rPr>
          <w:rStyle w:val="FootnoteReference"/>
          <w:rtl/>
        </w:rPr>
        <w:t xml:space="preserve"> </w:t>
      </w:r>
      <w:r w:rsidRPr="00A60FD1">
        <w:rPr>
          <w:rFonts w:ascii="Alef" w:eastAsiaTheme="minorHAnsi" w:hAnsi="Alef" w:cs="Alef"/>
          <w:b w:val="0"/>
          <w:bCs w:val="0"/>
          <w:kern w:val="0"/>
          <w:sz w:val="20"/>
          <w:szCs w:val="20"/>
          <w:rtl/>
        </w:rPr>
        <w:t xml:space="preserve">ראו למשל החלטה בדבר מתן פטור מאישור הסדר כובל להסכם בין: שיכון ובינוי בע"מ וקבוצת </w:t>
      </w:r>
      <w:proofErr w:type="spellStart"/>
      <w:r w:rsidRPr="00A60FD1">
        <w:rPr>
          <w:rFonts w:ascii="Alef" w:eastAsiaTheme="minorHAnsi" w:hAnsi="Alef" w:cs="Alef"/>
          <w:b w:val="0"/>
          <w:bCs w:val="0"/>
          <w:kern w:val="0"/>
          <w:sz w:val="20"/>
          <w:szCs w:val="20"/>
          <w:rtl/>
        </w:rPr>
        <w:t>אשטרום</w:t>
      </w:r>
      <w:proofErr w:type="spellEnd"/>
      <w:r w:rsidRPr="00A60FD1">
        <w:rPr>
          <w:rFonts w:ascii="Alef" w:eastAsiaTheme="minorHAnsi" w:hAnsi="Alef" w:cs="Alef"/>
          <w:b w:val="0"/>
          <w:bCs w:val="0"/>
          <w:kern w:val="0"/>
          <w:sz w:val="20"/>
          <w:szCs w:val="20"/>
          <w:rtl/>
        </w:rPr>
        <w:t xml:space="preserve"> בע"מ</w:t>
      </w:r>
      <w:r>
        <w:rPr>
          <w:rFonts w:ascii="Alef" w:eastAsiaTheme="minorHAnsi" w:hAnsi="Alef" w:cs="Alef" w:hint="cs"/>
          <w:b w:val="0"/>
          <w:bCs w:val="0"/>
          <w:kern w:val="0"/>
          <w:sz w:val="20"/>
          <w:szCs w:val="20"/>
          <w:rtl/>
        </w:rPr>
        <w:t xml:space="preserve"> (12.7.2018), </w:t>
      </w:r>
      <w:r w:rsidRPr="00A60FD1">
        <w:rPr>
          <w:rFonts w:ascii="Alef" w:eastAsiaTheme="minorHAnsi" w:hAnsi="Alef" w:cs="Alef" w:hint="cs"/>
          <w:kern w:val="0"/>
          <w:sz w:val="20"/>
          <w:szCs w:val="20"/>
          <w:rtl/>
        </w:rPr>
        <w:t>הגבלים עסקיים</w:t>
      </w:r>
      <w:r>
        <w:rPr>
          <w:rFonts w:ascii="Alef" w:eastAsiaTheme="minorHAnsi" w:hAnsi="Alef" w:cs="Alef" w:hint="cs"/>
          <w:b w:val="0"/>
          <w:bCs w:val="0"/>
          <w:kern w:val="0"/>
          <w:sz w:val="20"/>
          <w:szCs w:val="20"/>
          <w:rtl/>
        </w:rPr>
        <w:t xml:space="preserve">, </w:t>
      </w:r>
      <w:r w:rsidRPr="00A60FD1">
        <w:rPr>
          <w:rFonts w:ascii="Alef" w:eastAsiaTheme="minorHAnsi" w:hAnsi="Alef" w:cs="Alef"/>
          <w:b w:val="0"/>
          <w:bCs w:val="0"/>
          <w:kern w:val="0"/>
          <w:sz w:val="20"/>
          <w:szCs w:val="20"/>
        </w:rPr>
        <w:t>501545</w:t>
      </w:r>
      <w:r>
        <w:rPr>
          <w:rFonts w:ascii="Alef" w:eastAsiaTheme="minorHAnsi" w:hAnsi="Alef" w:cs="Alef" w:hint="cs"/>
          <w:b w:val="0"/>
          <w:bCs w:val="0"/>
          <w:kern w:val="0"/>
          <w:sz w:val="20"/>
          <w:szCs w:val="20"/>
          <w:rtl/>
        </w:rPr>
        <w:t xml:space="preserve">; </w:t>
      </w:r>
      <w:r w:rsidRPr="00A60FD1">
        <w:rPr>
          <w:rFonts w:ascii="Alef" w:eastAsiaTheme="minorHAnsi" w:hAnsi="Alef" w:cs="Alef"/>
          <w:b w:val="0"/>
          <w:bCs w:val="0"/>
          <w:kern w:val="0"/>
          <w:sz w:val="20"/>
          <w:szCs w:val="20"/>
          <w:rtl/>
        </w:rPr>
        <w:t xml:space="preserve">החלטה בדבר מתן פטור מאישור הסדר כובל בין: אלקטרה זכיינות בע"מ, אפיקים – שירותי תחבורה מתקדמים בע"מ, דניה </w:t>
      </w:r>
      <w:proofErr w:type="spellStart"/>
      <w:r w:rsidRPr="00A60FD1">
        <w:rPr>
          <w:rFonts w:ascii="Alef" w:eastAsiaTheme="minorHAnsi" w:hAnsi="Alef" w:cs="Alef"/>
          <w:b w:val="0"/>
          <w:bCs w:val="0"/>
          <w:kern w:val="0"/>
          <w:sz w:val="20"/>
          <w:szCs w:val="20"/>
          <w:rtl/>
        </w:rPr>
        <w:t>סיבוס</w:t>
      </w:r>
      <w:proofErr w:type="spellEnd"/>
      <w:r w:rsidRPr="00A60FD1">
        <w:rPr>
          <w:rFonts w:ascii="Alef" w:eastAsiaTheme="minorHAnsi" w:hAnsi="Alef" w:cs="Alef"/>
          <w:b w:val="0"/>
          <w:bCs w:val="0"/>
          <w:kern w:val="0"/>
          <w:sz w:val="20"/>
          <w:szCs w:val="20"/>
          <w:rtl/>
        </w:rPr>
        <w:t xml:space="preserve"> בע"מ ונהור נתיבי תחבורה בע"מ</w:t>
      </w:r>
      <w:r>
        <w:rPr>
          <w:rFonts w:ascii="Alef" w:eastAsiaTheme="minorHAnsi" w:hAnsi="Alef" w:cs="Alef" w:hint="cs"/>
          <w:b w:val="0"/>
          <w:bCs w:val="0"/>
          <w:kern w:val="0"/>
          <w:sz w:val="20"/>
          <w:szCs w:val="20"/>
          <w:rtl/>
        </w:rPr>
        <w:t xml:space="preserve"> (1.8.2019), </w:t>
      </w:r>
      <w:r w:rsidRPr="00A60FD1">
        <w:rPr>
          <w:rFonts w:ascii="Alef" w:eastAsiaTheme="minorHAnsi" w:hAnsi="Alef" w:cs="Alef" w:hint="cs"/>
          <w:kern w:val="0"/>
          <w:sz w:val="20"/>
          <w:szCs w:val="20"/>
          <w:rtl/>
        </w:rPr>
        <w:t>הגבלים עסקיים</w:t>
      </w:r>
      <w:r>
        <w:rPr>
          <w:rFonts w:ascii="Alef" w:eastAsiaTheme="minorHAnsi" w:hAnsi="Alef" w:cs="Alef" w:hint="cs"/>
          <w:b w:val="0"/>
          <w:bCs w:val="0"/>
          <w:kern w:val="0"/>
          <w:sz w:val="20"/>
          <w:szCs w:val="20"/>
          <w:rtl/>
        </w:rPr>
        <w:t>, 501679</w:t>
      </w:r>
      <w:r w:rsidRPr="00A60FD1">
        <w:rPr>
          <w:rFonts w:ascii="Alef" w:eastAsiaTheme="minorHAnsi" w:hAnsi="Alef" w:cs="Alef"/>
          <w:b w:val="0"/>
          <w:bCs w:val="0"/>
          <w:kern w:val="0"/>
          <w:sz w:val="20"/>
          <w:szCs w:val="20"/>
          <w:rtl/>
        </w:rPr>
        <w:t xml:space="preserve"> </w:t>
      </w:r>
      <w:r>
        <w:rPr>
          <w:rFonts w:ascii="Alef" w:eastAsiaTheme="minorHAnsi" w:hAnsi="Alef" w:cs="Alef" w:hint="cs"/>
          <w:b w:val="0"/>
          <w:bCs w:val="0"/>
          <w:kern w:val="0"/>
          <w:sz w:val="20"/>
          <w:szCs w:val="20"/>
          <w:rtl/>
        </w:rPr>
        <w:t xml:space="preserve">אשר </w:t>
      </w:r>
      <w:r w:rsidRPr="00A60FD1">
        <w:rPr>
          <w:rFonts w:ascii="Alef" w:eastAsiaTheme="minorHAnsi" w:hAnsi="Alef" w:cs="Alef"/>
          <w:b w:val="0"/>
          <w:bCs w:val="0"/>
          <w:kern w:val="0"/>
          <w:sz w:val="20"/>
          <w:szCs w:val="20"/>
          <w:rtl/>
        </w:rPr>
        <w:t>פירטו את החששות לפגיעה בתחרות במכרז עצמו ואת החששות לפגיעה בתחרות מחוץ לזירת המכרז.</w:t>
      </w:r>
    </w:p>
  </w:footnote>
  <w:footnote w:id="14">
    <w:p w:rsidR="003B55CE" w:rsidRPr="009F28BD" w:rsidRDefault="003B55CE" w:rsidP="003B55CE">
      <w:pPr>
        <w:pStyle w:val="FootnoteText"/>
        <w:contextualSpacing/>
        <w:rPr>
          <w:rFonts w:ascii="Alef" w:hAnsi="Alef" w:cs="Alef"/>
          <w:rtl/>
        </w:rPr>
      </w:pPr>
      <w:r w:rsidRPr="009F28BD">
        <w:rPr>
          <w:rStyle w:val="FootnoteReference"/>
          <w:rFonts w:ascii="Alef" w:hAnsi="Alef" w:cs="Alef"/>
        </w:rPr>
        <w:footnoteRef/>
      </w:r>
      <w:r w:rsidRPr="009F28BD">
        <w:rPr>
          <w:rFonts w:ascii="Alef" w:hAnsi="Alef" w:cs="Alef"/>
          <w:rtl/>
        </w:rPr>
        <w:t>ככלל, ניתן לומר שעלייה במספר המשתתפים במכרז הופכת אותו לתחרותי יותר. כמו כן ככל שמספר המשתתפים גדול יותר</w:t>
      </w:r>
      <w:r>
        <w:rPr>
          <w:rFonts w:ascii="Alef" w:hAnsi="Alef" w:cs="Alef" w:hint="cs"/>
          <w:rtl/>
        </w:rPr>
        <w:t>,</w:t>
      </w:r>
      <w:r w:rsidRPr="009F28BD">
        <w:rPr>
          <w:rFonts w:ascii="Alef" w:hAnsi="Alef" w:cs="Alef"/>
          <w:rtl/>
        </w:rPr>
        <w:t xml:space="preserve"> התלות בפורמט המדויק בו נעשה שימוש במכרז לשם קבלת תוצאה מיטבית, קטנה. ראו: </w:t>
      </w:r>
      <w:r w:rsidRPr="009F28BD">
        <w:rPr>
          <w:rFonts w:ascii="Alef" w:hAnsi="Alef" w:cs="Alef"/>
        </w:rPr>
        <w:t xml:space="preserve">"Efficient Auctions" by P. </w:t>
      </w:r>
      <w:proofErr w:type="spellStart"/>
      <w:r w:rsidRPr="009F28BD">
        <w:rPr>
          <w:rFonts w:ascii="Alef" w:hAnsi="Alef" w:cs="Alef"/>
        </w:rPr>
        <w:t>Dasgupta</w:t>
      </w:r>
      <w:proofErr w:type="spellEnd"/>
      <w:r w:rsidRPr="009F28BD">
        <w:rPr>
          <w:rFonts w:ascii="Alef" w:hAnsi="Alef" w:cs="Alef"/>
        </w:rPr>
        <w:t xml:space="preserve"> and E. </w:t>
      </w:r>
      <w:proofErr w:type="spellStart"/>
      <w:r w:rsidRPr="009F28BD">
        <w:rPr>
          <w:rFonts w:ascii="Alef" w:hAnsi="Alef" w:cs="Alef"/>
        </w:rPr>
        <w:t>Maskin</w:t>
      </w:r>
      <w:proofErr w:type="spellEnd"/>
      <w:r w:rsidRPr="009F28BD">
        <w:rPr>
          <w:rFonts w:ascii="Alef" w:hAnsi="Alef" w:cs="Alef"/>
          <w:i/>
          <w:iCs/>
        </w:rPr>
        <w:t>,  The Quarterly Journal of Economics</w:t>
      </w:r>
      <w:r w:rsidRPr="009F28BD">
        <w:rPr>
          <w:rFonts w:ascii="Alef" w:hAnsi="Alef" w:cs="Alef"/>
        </w:rPr>
        <w:t xml:space="preserve">, 115(2), 2000, 341-388 </w:t>
      </w:r>
    </w:p>
  </w:footnote>
  <w:footnote w:id="15">
    <w:p w:rsidR="003B55CE" w:rsidRPr="009F28BD"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למשל,</w:t>
      </w:r>
      <w:r w:rsidRPr="009F28BD">
        <w:rPr>
          <w:rFonts w:ascii="Alef" w:hAnsi="Alef" w:cs="Alef"/>
        </w:rPr>
        <w:t xml:space="preserve">"Bidding Markets" by P. Klemperer, </w:t>
      </w:r>
      <w:r w:rsidRPr="009F28BD">
        <w:rPr>
          <w:rFonts w:ascii="Alef" w:hAnsi="Alef" w:cs="Alef"/>
          <w:i/>
          <w:iCs/>
        </w:rPr>
        <w:t>Journal of Competition Law and Economics</w:t>
      </w:r>
      <w:r w:rsidRPr="009F28BD">
        <w:rPr>
          <w:rFonts w:ascii="Alef" w:hAnsi="Alef" w:cs="Alef"/>
        </w:rPr>
        <w:t>, 3(1) 2007, 1-47</w:t>
      </w:r>
      <w:r w:rsidRPr="009F28BD">
        <w:rPr>
          <w:rFonts w:ascii="Alef" w:hAnsi="Alef" w:cs="Alef"/>
          <w:rtl/>
        </w:rPr>
        <w:t xml:space="preserve">. </w:t>
      </w:r>
    </w:p>
  </w:footnote>
  <w:footnote w:id="16">
    <w:p w:rsidR="003B55CE" w:rsidRPr="009F28BD"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ראו </w:t>
      </w:r>
      <w:r w:rsidRPr="009F28BD">
        <w:rPr>
          <w:rFonts w:ascii="Alef" w:hAnsi="Alef" w:cs="Alef"/>
        </w:rPr>
        <w:t xml:space="preserve">"The Economics of Tacit Collusion: Implications for Merger Control" by M. </w:t>
      </w:r>
      <w:proofErr w:type="spellStart"/>
      <w:r w:rsidRPr="009F28BD">
        <w:rPr>
          <w:rFonts w:ascii="Alef" w:hAnsi="Alef" w:cs="Alef"/>
        </w:rPr>
        <w:t>Ivaldi</w:t>
      </w:r>
      <w:proofErr w:type="spellEnd"/>
      <w:r w:rsidRPr="009F28BD">
        <w:rPr>
          <w:rFonts w:ascii="Alef" w:hAnsi="Alef" w:cs="Alef"/>
        </w:rPr>
        <w:t xml:space="preserve">, B. </w:t>
      </w:r>
      <w:proofErr w:type="spellStart"/>
      <w:r w:rsidRPr="009F28BD">
        <w:rPr>
          <w:rFonts w:ascii="Alef" w:hAnsi="Alef" w:cs="Alef"/>
        </w:rPr>
        <w:t>Jullien</w:t>
      </w:r>
      <w:proofErr w:type="spellEnd"/>
      <w:r w:rsidRPr="009F28BD">
        <w:rPr>
          <w:rFonts w:ascii="Alef" w:hAnsi="Alef" w:cs="Alef"/>
        </w:rPr>
        <w:t xml:space="preserve">, </w:t>
      </w:r>
      <w:proofErr w:type="gramStart"/>
      <w:r w:rsidRPr="009F28BD">
        <w:rPr>
          <w:rFonts w:ascii="Alef" w:hAnsi="Alef" w:cs="Alef"/>
        </w:rPr>
        <w:t>P. ,Rey</w:t>
      </w:r>
      <w:proofErr w:type="gramEnd"/>
      <w:r w:rsidRPr="009F28BD">
        <w:rPr>
          <w:rFonts w:ascii="Alef" w:hAnsi="Alef" w:cs="Alef"/>
        </w:rPr>
        <w:t xml:space="preserve">, P. </w:t>
      </w:r>
      <w:proofErr w:type="spellStart"/>
      <w:r w:rsidRPr="009F28BD">
        <w:rPr>
          <w:rFonts w:ascii="Alef" w:hAnsi="Alef" w:cs="Alef"/>
        </w:rPr>
        <w:t>Seabright</w:t>
      </w:r>
      <w:proofErr w:type="spellEnd"/>
      <w:r w:rsidRPr="009F28BD">
        <w:rPr>
          <w:rFonts w:ascii="Alef" w:hAnsi="Alef" w:cs="Alef"/>
        </w:rPr>
        <w:t xml:space="preserve"> and J. </w:t>
      </w:r>
      <w:proofErr w:type="spellStart"/>
      <w:r w:rsidRPr="009F28BD">
        <w:rPr>
          <w:rFonts w:ascii="Alef" w:hAnsi="Alef" w:cs="Alef"/>
        </w:rPr>
        <w:t>Tirole</w:t>
      </w:r>
      <w:proofErr w:type="spellEnd"/>
      <w:r w:rsidRPr="009F28BD">
        <w:rPr>
          <w:rFonts w:ascii="Alef" w:hAnsi="Alef" w:cs="Alef"/>
        </w:rPr>
        <w:t xml:space="preserve"> in </w:t>
      </w:r>
      <w:r w:rsidRPr="009F28BD">
        <w:rPr>
          <w:rFonts w:ascii="Alef" w:hAnsi="Alef" w:cs="Alef"/>
          <w:i/>
          <w:iCs/>
        </w:rPr>
        <w:t xml:space="preserve">The Political Economy of Antitrust </w:t>
      </w:r>
      <w:r w:rsidRPr="009F28BD">
        <w:rPr>
          <w:rFonts w:ascii="Alef" w:hAnsi="Alef" w:cs="Alef"/>
        </w:rPr>
        <w:t xml:space="preserve">(editors: V. </w:t>
      </w:r>
      <w:proofErr w:type="spellStart"/>
      <w:r w:rsidRPr="009F28BD">
        <w:rPr>
          <w:rFonts w:ascii="Alef" w:hAnsi="Alef" w:cs="Alef"/>
        </w:rPr>
        <w:t>Ghosal</w:t>
      </w:r>
      <w:proofErr w:type="spellEnd"/>
      <w:r w:rsidRPr="009F28BD">
        <w:rPr>
          <w:rFonts w:ascii="Alef" w:hAnsi="Alef" w:cs="Alef"/>
        </w:rPr>
        <w:t xml:space="preserve"> and J. </w:t>
      </w:r>
      <w:proofErr w:type="spellStart"/>
      <w:r w:rsidRPr="009F28BD">
        <w:rPr>
          <w:rFonts w:ascii="Alef" w:hAnsi="Alef" w:cs="Alef"/>
        </w:rPr>
        <w:t>Stennek</w:t>
      </w:r>
      <w:proofErr w:type="spellEnd"/>
      <w:r w:rsidRPr="009F28BD">
        <w:rPr>
          <w:rFonts w:ascii="Alef" w:hAnsi="Alef" w:cs="Alef"/>
        </w:rPr>
        <w:t xml:space="preserve">), 2007, 217-240. </w:t>
      </w:r>
      <w:r w:rsidRPr="009F28BD">
        <w:rPr>
          <w:rFonts w:ascii="Alef" w:hAnsi="Alef" w:cs="Alef"/>
          <w:rtl/>
        </w:rPr>
        <w:t xml:space="preserve">. בסקירתם על השפעות מתואמות, מציעים החוקרים רשימה של מאפיינים המגדילים את ההיתכנות של השפעות כאלו. תדירות האינטראקציה בין המתחרים על פני משחקים חוזרים ומספרם תופסים מקום מרכזי ברשימה. </w:t>
      </w:r>
    </w:p>
  </w:footnote>
  <w:footnote w:id="17">
    <w:p w:rsidR="003B55CE" w:rsidRPr="009F28BD"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w:t>
      </w:r>
      <w:r w:rsidRPr="009F28BD">
        <w:rPr>
          <w:rFonts w:ascii="Alef" w:hAnsi="Alef" w:cs="Alef"/>
        </w:rPr>
        <w:t>OECD, Policy Roundtables, Competition in Bidding Markets, 2006, page 44.</w:t>
      </w:r>
      <w:r w:rsidRPr="009F28BD">
        <w:rPr>
          <w:rFonts w:ascii="Alef" w:hAnsi="Alef" w:cs="Alef"/>
          <w:rtl/>
        </w:rPr>
        <w:t xml:space="preserve"> ("</w:t>
      </w:r>
      <w:r w:rsidRPr="009F28BD">
        <w:rPr>
          <w:rFonts w:ascii="Alef" w:hAnsi="Alef" w:cs="Alef"/>
          <w:b/>
          <w:bCs/>
        </w:rPr>
        <w:t>OECD</w:t>
      </w:r>
      <w:r>
        <w:rPr>
          <w:rFonts w:ascii="Alef" w:hAnsi="Alef" w:cs="Alef"/>
          <w:b/>
          <w:bCs/>
        </w:rPr>
        <w:t xml:space="preserve"> Roundtables</w:t>
      </w:r>
      <w:r w:rsidRPr="009F28BD">
        <w:rPr>
          <w:rFonts w:ascii="Alef" w:hAnsi="Alef" w:cs="Alef"/>
          <w:rtl/>
        </w:rPr>
        <w:t>")</w:t>
      </w:r>
      <w:r>
        <w:rPr>
          <w:rFonts w:ascii="Alef" w:hAnsi="Alef" w:cs="Alef" w:hint="cs"/>
          <w:rtl/>
        </w:rPr>
        <w:t>.</w:t>
      </w:r>
    </w:p>
    <w:p w:rsidR="003B55CE" w:rsidRPr="001D5046" w:rsidRDefault="00F25D0F" w:rsidP="003B55CE">
      <w:pPr>
        <w:pStyle w:val="FootnoteText"/>
        <w:rPr>
          <w:rFonts w:ascii="Alef" w:hAnsi="Alef" w:cs="Alef"/>
          <w:rtl/>
        </w:rPr>
      </w:pPr>
      <w:hyperlink r:id="rId2" w:history="1">
        <w:r w:rsidR="003B55CE" w:rsidRPr="009F28BD">
          <w:rPr>
            <w:rStyle w:val="Hyperlink"/>
            <w:rFonts w:ascii="Alef" w:hAnsi="Alef" w:cs="Alef"/>
          </w:rPr>
          <w:t>http://www.oecd.org/competition/cartels/38773965.pdf</w:t>
        </w:r>
      </w:hyperlink>
      <w:r w:rsidR="003B55CE" w:rsidRPr="009F28BD">
        <w:rPr>
          <w:rFonts w:ascii="Alef" w:hAnsi="Alef" w:cs="Alef"/>
        </w:rPr>
        <w:t xml:space="preserve"> </w:t>
      </w:r>
    </w:p>
    <w:p w:rsidR="003B55CE" w:rsidRPr="001F35B2" w:rsidRDefault="003B55CE" w:rsidP="003B55CE">
      <w:pPr>
        <w:shd w:val="clear" w:color="auto" w:fill="FFFFFF"/>
        <w:spacing w:after="300" w:line="240" w:lineRule="auto"/>
        <w:jc w:val="both"/>
        <w:outlineLvl w:val="0"/>
        <w:rPr>
          <w:rFonts w:ascii="Alef" w:eastAsia="Times New Roman" w:hAnsi="Alef" w:cs="Alef"/>
          <w:kern w:val="36"/>
          <w:sz w:val="20"/>
          <w:szCs w:val="20"/>
        </w:rPr>
      </w:pPr>
      <w:r>
        <w:rPr>
          <w:rFonts w:ascii="Alef" w:eastAsia="Times New Roman" w:hAnsi="Alef" w:cs="Alef" w:hint="cs"/>
          <w:kern w:val="36"/>
          <w:sz w:val="20"/>
          <w:szCs w:val="20"/>
          <w:rtl/>
        </w:rPr>
        <w:t xml:space="preserve">החלטה בעניין אלקטרה </w:t>
      </w:r>
      <w:proofErr w:type="spellStart"/>
      <w:r>
        <w:rPr>
          <w:rFonts w:ascii="Alef" w:eastAsia="Times New Roman" w:hAnsi="Alef" w:cs="Alef" w:hint="cs"/>
          <w:kern w:val="36"/>
          <w:sz w:val="20"/>
          <w:szCs w:val="20"/>
          <w:rtl/>
        </w:rPr>
        <w:t>דלקיה</w:t>
      </w:r>
      <w:proofErr w:type="spellEnd"/>
      <w:r>
        <w:rPr>
          <w:rFonts w:ascii="Alef" w:eastAsia="Times New Roman" w:hAnsi="Alef" w:cs="Alef" w:hint="cs"/>
          <w:kern w:val="36"/>
          <w:sz w:val="20"/>
          <w:szCs w:val="20"/>
          <w:rtl/>
        </w:rPr>
        <w:t xml:space="preserve">, </w:t>
      </w:r>
      <w:proofErr w:type="spellStart"/>
      <w:r>
        <w:rPr>
          <w:rFonts w:ascii="Alef" w:eastAsia="Times New Roman" w:hAnsi="Alef" w:cs="Alef" w:hint="cs"/>
          <w:kern w:val="36"/>
          <w:sz w:val="20"/>
          <w:szCs w:val="20"/>
          <w:rtl/>
        </w:rPr>
        <w:t>ה"ש</w:t>
      </w:r>
      <w:proofErr w:type="spellEnd"/>
      <w:r>
        <w:rPr>
          <w:rFonts w:ascii="Alef" w:eastAsia="Times New Roman" w:hAnsi="Alef" w:cs="Alef" w:hint="cs"/>
          <w:kern w:val="36"/>
          <w:sz w:val="20"/>
          <w:szCs w:val="20"/>
          <w:rtl/>
        </w:rPr>
        <w:t xml:space="preserve"> 7 לעיל. </w:t>
      </w:r>
    </w:p>
    <w:p w:rsidR="003B55CE" w:rsidRPr="001F35B2" w:rsidRDefault="003B55CE" w:rsidP="003B55CE">
      <w:pPr>
        <w:pStyle w:val="FootnoteText"/>
        <w:rPr>
          <w:rFonts w:ascii="Alef" w:hAnsi="Alef" w:cs="Alef"/>
          <w:rtl/>
        </w:rPr>
      </w:pPr>
    </w:p>
  </w:footnote>
  <w:footnote w:id="18">
    <w:p w:rsidR="003B55CE" w:rsidRPr="009F28BD"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ראה </w:t>
      </w:r>
      <w:r>
        <w:rPr>
          <w:rFonts w:ascii="Alef" w:hAnsi="Alef" w:cs="Alef"/>
        </w:rPr>
        <w:t>Roundtables</w:t>
      </w:r>
      <w:r w:rsidRPr="009F28BD">
        <w:rPr>
          <w:rFonts w:ascii="Alef" w:hAnsi="Alef" w:cs="Alef"/>
          <w:rtl/>
        </w:rPr>
        <w:t xml:space="preserve"> </w:t>
      </w:r>
      <w:r w:rsidRPr="009F28BD">
        <w:rPr>
          <w:rFonts w:ascii="Alef" w:hAnsi="Alef" w:cs="Alef"/>
        </w:rPr>
        <w:t>OECD</w:t>
      </w:r>
      <w:r w:rsidRPr="009F28BD">
        <w:rPr>
          <w:rFonts w:ascii="Alef" w:hAnsi="Alef" w:cs="Alef"/>
          <w:rtl/>
        </w:rPr>
        <w:t xml:space="preserve">, </w:t>
      </w:r>
      <w:proofErr w:type="spellStart"/>
      <w:r>
        <w:rPr>
          <w:rFonts w:ascii="Alef" w:hAnsi="Alef" w:cs="Alef" w:hint="cs"/>
          <w:rtl/>
        </w:rPr>
        <w:t>ה"ש</w:t>
      </w:r>
      <w:proofErr w:type="spellEnd"/>
      <w:r>
        <w:rPr>
          <w:rFonts w:ascii="Alef" w:hAnsi="Alef" w:cs="Alef" w:hint="cs"/>
          <w:rtl/>
        </w:rPr>
        <w:t xml:space="preserve"> 17 לעיל, </w:t>
      </w:r>
      <w:r w:rsidRPr="009F28BD">
        <w:rPr>
          <w:rFonts w:ascii="Alef" w:hAnsi="Alef" w:cs="Alef"/>
          <w:rtl/>
        </w:rPr>
        <w:t xml:space="preserve">עמוד 8. </w:t>
      </w:r>
    </w:p>
  </w:footnote>
  <w:footnote w:id="19">
    <w:p w:rsidR="003B55CE" w:rsidRPr="002A235D" w:rsidRDefault="003B55CE" w:rsidP="003B55CE">
      <w:pPr>
        <w:pStyle w:val="FootnoteText"/>
      </w:pPr>
      <w:r w:rsidRPr="009F28BD">
        <w:rPr>
          <w:rStyle w:val="FootnoteReference"/>
          <w:rFonts w:ascii="Alef" w:hAnsi="Alef" w:cs="Alef"/>
        </w:rPr>
        <w:footnoteRef/>
      </w:r>
      <w:r w:rsidRPr="009F28BD">
        <w:rPr>
          <w:rFonts w:ascii="Alef" w:hAnsi="Alef" w:cs="Alef"/>
          <w:rtl/>
        </w:rPr>
        <w:t xml:space="preserve"> </w:t>
      </w:r>
      <w:r w:rsidRPr="00627027">
        <w:rPr>
          <w:rFonts w:ascii="Alef" w:hAnsi="Alef" w:cs="Alef"/>
          <w:rtl/>
        </w:rPr>
        <w:t>ראו החלטה בדבר מתן</w:t>
      </w:r>
      <w:r w:rsidRPr="00627027">
        <w:rPr>
          <w:rFonts w:ascii="Alef" w:hAnsi="Alef" w:cs="Alef"/>
        </w:rPr>
        <w:t xml:space="preserve"> </w:t>
      </w:r>
      <w:r w:rsidRPr="00627027">
        <w:rPr>
          <w:rFonts w:ascii="Alef" w:hAnsi="Alef" w:cs="Alef"/>
          <w:rtl/>
        </w:rPr>
        <w:t>פטור מאישור הסדר כובל הסדר בין</w:t>
      </w:r>
      <w:r w:rsidRPr="00627027">
        <w:rPr>
          <w:rFonts w:ascii="Alef" w:hAnsi="Alef" w:cs="Alef"/>
        </w:rPr>
        <w:t xml:space="preserve"> </w:t>
      </w:r>
      <w:r w:rsidRPr="00627027">
        <w:rPr>
          <w:rFonts w:ascii="Alef" w:hAnsi="Alef" w:cs="Alef"/>
          <w:rtl/>
        </w:rPr>
        <w:t>משכל הוצאה לאור והפצה בע"מ לבין</w:t>
      </w:r>
      <w:r w:rsidRPr="00627027">
        <w:rPr>
          <w:rFonts w:ascii="Alef" w:hAnsi="Alef" w:cs="Alef"/>
        </w:rPr>
        <w:t xml:space="preserve"> </w:t>
      </w:r>
      <w:r w:rsidRPr="00627027">
        <w:rPr>
          <w:rFonts w:ascii="Alef" w:hAnsi="Alef" w:cs="Alef"/>
          <w:rtl/>
        </w:rPr>
        <w:t xml:space="preserve">גלובס </w:t>
      </w:r>
      <w:proofErr w:type="spellStart"/>
      <w:r w:rsidRPr="00627027">
        <w:rPr>
          <w:rFonts w:ascii="Alef" w:hAnsi="Alef" w:cs="Alef"/>
          <w:rtl/>
        </w:rPr>
        <w:t>פבלישר</w:t>
      </w:r>
      <w:proofErr w:type="spellEnd"/>
      <w:r w:rsidRPr="00627027">
        <w:rPr>
          <w:rFonts w:ascii="Alef" w:hAnsi="Alef" w:cs="Alef"/>
          <w:rtl/>
        </w:rPr>
        <w:t xml:space="preserve"> עיתונות (1983) בע"מ </w:t>
      </w:r>
      <w:r w:rsidRPr="00627027">
        <w:rPr>
          <w:rFonts w:ascii="Alef" w:hAnsi="Alef" w:cs="Alef"/>
          <w:b/>
          <w:bCs/>
          <w:rtl/>
        </w:rPr>
        <w:t>הגבלים עסקיים</w:t>
      </w:r>
      <w:r w:rsidRPr="00627027">
        <w:rPr>
          <w:rFonts w:ascii="Alef" w:hAnsi="Alef" w:cs="Alef"/>
          <w:rtl/>
        </w:rPr>
        <w:t xml:space="preserve">, </w:t>
      </w:r>
      <w:r w:rsidRPr="00627027">
        <w:rPr>
          <w:rFonts w:ascii="Alef" w:hAnsi="Alef" w:cs="Alef"/>
        </w:rPr>
        <w:t>5000432</w:t>
      </w:r>
      <w:r w:rsidRPr="00627027">
        <w:rPr>
          <w:rFonts w:ascii="Alef" w:hAnsi="Alef" w:cs="Alef"/>
          <w:rtl/>
        </w:rPr>
        <w:t xml:space="preserve">; גילוי דעת 3/14 בעניין איגודים עסקיים ושולחנות משותפים אחרים בין מתחרים (26.7.2015), </w:t>
      </w:r>
      <w:r w:rsidRPr="00627027">
        <w:rPr>
          <w:rFonts w:ascii="Alef" w:hAnsi="Alef" w:cs="Alef"/>
          <w:b/>
          <w:bCs/>
          <w:rtl/>
        </w:rPr>
        <w:t>הגבלים עסקיים</w:t>
      </w:r>
      <w:r w:rsidRPr="00627027">
        <w:rPr>
          <w:rFonts w:ascii="Alef" w:hAnsi="Alef" w:cs="Alef"/>
          <w:rtl/>
        </w:rPr>
        <w:t xml:space="preserve">, 500820; </w:t>
      </w:r>
      <w:proofErr w:type="spellStart"/>
      <w:r w:rsidRPr="00627027">
        <w:rPr>
          <w:rFonts w:ascii="Alef" w:hAnsi="Alef" w:cs="Alef"/>
          <w:rtl/>
        </w:rPr>
        <w:t>ה"ע</w:t>
      </w:r>
      <w:proofErr w:type="spellEnd"/>
      <w:r w:rsidRPr="00627027">
        <w:rPr>
          <w:rFonts w:ascii="Alef" w:hAnsi="Alef" w:cs="Alef"/>
          <w:rtl/>
        </w:rPr>
        <w:t xml:space="preserve"> 508/04 תאגיד איסוף </w:t>
      </w:r>
      <w:proofErr w:type="spellStart"/>
      <w:r w:rsidRPr="00627027">
        <w:rPr>
          <w:rFonts w:ascii="Alef" w:hAnsi="Alef" w:cs="Alef"/>
          <w:rtl/>
        </w:rPr>
        <w:t>מיכלי</w:t>
      </w:r>
      <w:proofErr w:type="spellEnd"/>
      <w:r w:rsidRPr="00627027">
        <w:rPr>
          <w:rFonts w:ascii="Alef" w:hAnsi="Alef" w:cs="Alef"/>
          <w:rtl/>
        </w:rPr>
        <w:t xml:space="preserve"> משקה בע"מ נ' הממונה על הגבלים עסקיים, דינים מחוזי לה(6) 348, סעיף 12 לפסק הדין.</w:t>
      </w:r>
    </w:p>
  </w:footnote>
  <w:footnote w:id="20">
    <w:p w:rsidR="003B55CE" w:rsidRPr="00CA3BC9"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מנגנונים שונים להעברת מידע בין מתחרים תוך מניעת הפגיעה בתחרות מפורטים בגילוי דעת 2/14</w:t>
      </w:r>
      <w:r>
        <w:rPr>
          <w:rFonts w:ascii="Alef" w:hAnsi="Alef" w:cs="Alef" w:hint="cs"/>
          <w:rtl/>
        </w:rPr>
        <w:t xml:space="preserve"> בעניין חשיפת מידע טרם עסקה בין מתחרים, (19.5.2014) </w:t>
      </w:r>
      <w:r>
        <w:rPr>
          <w:rFonts w:ascii="Alef" w:hAnsi="Alef" w:cs="Alef" w:hint="cs"/>
          <w:b/>
          <w:bCs/>
          <w:rtl/>
        </w:rPr>
        <w:t xml:space="preserve">הגבלים עסקיים, </w:t>
      </w:r>
      <w:r w:rsidRPr="00CA3BC9">
        <w:rPr>
          <w:rFonts w:ascii="Alef" w:hAnsi="Alef" w:cs="Alef"/>
        </w:rPr>
        <w:t>500618</w:t>
      </w:r>
      <w:r>
        <w:rPr>
          <w:rFonts w:ascii="Alef" w:hAnsi="Alef" w:cs="Alef" w:hint="cs"/>
          <w:rtl/>
        </w:rPr>
        <w:t>. ("</w:t>
      </w:r>
      <w:r w:rsidRPr="00EB5488">
        <w:rPr>
          <w:rFonts w:ascii="Alef" w:hAnsi="Alef" w:cs="Alef" w:hint="cs"/>
          <w:b/>
          <w:bCs/>
          <w:rtl/>
        </w:rPr>
        <w:t>גילוי דעת 2/14</w:t>
      </w:r>
      <w:r>
        <w:rPr>
          <w:rFonts w:ascii="Alef" w:hAnsi="Alef" w:cs="Alef" w:hint="cs"/>
          <w:rtl/>
        </w:rPr>
        <w:t>")</w:t>
      </w:r>
    </w:p>
  </w:footnote>
  <w:footnote w:id="21">
    <w:p w:rsidR="003B55CE" w:rsidRDefault="003B55CE" w:rsidP="003B55CE">
      <w:pPr>
        <w:pStyle w:val="FootnoteText"/>
        <w:rPr>
          <w:rtl/>
        </w:rPr>
      </w:pPr>
      <w:r w:rsidRPr="00AD394E">
        <w:rPr>
          <w:rFonts w:ascii="Alef" w:hAnsi="Alef" w:cs="Alef"/>
        </w:rPr>
        <w:footnoteRef/>
      </w:r>
      <w:r w:rsidRPr="00AD394E">
        <w:rPr>
          <w:rFonts w:ascii="Alef" w:hAnsi="Alef" w:cs="Alef"/>
          <w:rtl/>
        </w:rPr>
        <w:t xml:space="preserve"> (י-ם) 1/97 </w:t>
      </w:r>
      <w:proofErr w:type="spellStart"/>
      <w:r w:rsidRPr="00AD394E">
        <w:rPr>
          <w:rFonts w:ascii="Alef" w:hAnsi="Alef" w:cs="Alef"/>
          <w:rtl/>
        </w:rPr>
        <w:t>איסכור</w:t>
      </w:r>
      <w:proofErr w:type="spellEnd"/>
      <w:r w:rsidRPr="00AD394E">
        <w:rPr>
          <w:rFonts w:ascii="Alef" w:hAnsi="Alef" w:cs="Alef"/>
          <w:rtl/>
        </w:rPr>
        <w:t xml:space="preserve"> נ' הממונה על הגבלים עסקיים (פורסם בנבו, 12.11.1997)</w:t>
      </w:r>
      <w:r w:rsidRPr="00AD394E">
        <w:rPr>
          <w:rFonts w:ascii="Alef" w:hAnsi="Alef" w:cs="Alef" w:hint="cs"/>
          <w:rtl/>
        </w:rPr>
        <w:t xml:space="preserve">, סעיף 13. </w:t>
      </w:r>
      <w:r>
        <w:rPr>
          <w:rFonts w:ascii="Alef" w:hAnsi="Alef" w:cs="Alef" w:hint="cs"/>
          <w:rtl/>
        </w:rPr>
        <w:t xml:space="preserve">החלטה בדבר מתן פטור בתנאים מאישור הסדר כובל בין: הוצאת עיתון הארץ בע"מ בר </w:t>
      </w:r>
      <w:proofErr w:type="spellStart"/>
      <w:r>
        <w:rPr>
          <w:rFonts w:ascii="Alef" w:hAnsi="Alef" w:cs="Alef" w:hint="cs"/>
          <w:rtl/>
        </w:rPr>
        <w:t>בי.טו.די</w:t>
      </w:r>
      <w:proofErr w:type="spellEnd"/>
      <w:r>
        <w:rPr>
          <w:rFonts w:ascii="Alef" w:hAnsi="Alef" w:cs="Alef" w:hint="cs"/>
          <w:rtl/>
        </w:rPr>
        <w:t xml:space="preserve">. בע"מ (25.4.2017) </w:t>
      </w:r>
      <w:r>
        <w:rPr>
          <w:rFonts w:ascii="Alef" w:hAnsi="Alef" w:cs="Alef" w:hint="cs"/>
          <w:b/>
          <w:bCs/>
          <w:rtl/>
        </w:rPr>
        <w:t>הגבלים עסקיים</w:t>
      </w:r>
      <w:r>
        <w:rPr>
          <w:rFonts w:ascii="Alef" w:hAnsi="Alef" w:cs="Alef" w:hint="cs"/>
          <w:rtl/>
        </w:rPr>
        <w:t xml:space="preserve">, 501233; מתן פטור מאישור הסדר כובל שצדדים לו אגודת קומפוזיטורים מחברים </w:t>
      </w:r>
      <w:proofErr w:type="spellStart"/>
      <w:r>
        <w:rPr>
          <w:rFonts w:ascii="Alef" w:hAnsi="Alef" w:cs="Alef" w:hint="cs"/>
          <w:rtl/>
        </w:rPr>
        <w:t>ומול"ים</w:t>
      </w:r>
      <w:proofErr w:type="spellEnd"/>
      <w:r>
        <w:rPr>
          <w:rFonts w:ascii="Alef" w:hAnsi="Alef" w:cs="Alef" w:hint="cs"/>
          <w:rtl/>
        </w:rPr>
        <w:t xml:space="preserve"> למוסיקה בישראל בע"מ ובעלי הזכויות בה (2.11.2016), </w:t>
      </w:r>
      <w:r>
        <w:rPr>
          <w:rFonts w:ascii="Alef" w:hAnsi="Alef" w:cs="Alef" w:hint="cs"/>
          <w:b/>
          <w:bCs/>
          <w:rtl/>
        </w:rPr>
        <w:t>הגבלים עסקיים</w:t>
      </w:r>
      <w:r>
        <w:rPr>
          <w:rFonts w:ascii="Alef" w:hAnsi="Alef" w:cs="Alef" w:hint="cs"/>
          <w:rtl/>
        </w:rPr>
        <w:t>, 501076</w:t>
      </w:r>
      <w:r w:rsidRPr="00AD394E">
        <w:rPr>
          <w:rFonts w:ascii="Alef" w:hAnsi="Alef" w:cs="Alef" w:hint="cs"/>
          <w:rtl/>
        </w:rPr>
        <w:t>.</w:t>
      </w:r>
    </w:p>
  </w:footnote>
  <w:footnote w:id="22">
    <w:p w:rsidR="003B55CE" w:rsidRDefault="003B55CE" w:rsidP="003B55CE">
      <w:pPr>
        <w:pStyle w:val="FootnoteText"/>
        <w:rPr>
          <w:rtl/>
        </w:rPr>
      </w:pPr>
      <w:r w:rsidRPr="005D2E20">
        <w:rPr>
          <w:rStyle w:val="FootnoteReference"/>
        </w:rPr>
        <w:footnoteRef/>
      </w:r>
      <w:r w:rsidRPr="005D2E20">
        <w:rPr>
          <w:rtl/>
        </w:rPr>
        <w:t xml:space="preserve"> </w:t>
      </w:r>
      <w:r w:rsidRPr="005D2E20">
        <w:rPr>
          <w:rFonts w:ascii="Alef" w:hAnsi="Alef" w:cs="Alef" w:hint="cs"/>
          <w:rtl/>
        </w:rPr>
        <w:t>ראו כהיקש, גילוי דעת 1/11 בעניין הנחיות לנ</w:t>
      </w:r>
      <w:r>
        <w:rPr>
          <w:rFonts w:ascii="Alef" w:hAnsi="Alef" w:cs="Alef" w:hint="cs"/>
          <w:rtl/>
        </w:rPr>
        <w:t xml:space="preserve">יתוח תחרותי של מיזוגים אופקיים (23.1.2011), </w:t>
      </w:r>
      <w:r>
        <w:rPr>
          <w:rFonts w:ascii="Alef" w:hAnsi="Alef" w:cs="Alef" w:hint="cs"/>
          <w:b/>
          <w:bCs/>
          <w:rtl/>
        </w:rPr>
        <w:t xml:space="preserve">הגבלים </w:t>
      </w:r>
      <w:r w:rsidRPr="00345139">
        <w:rPr>
          <w:rFonts w:ascii="Alef" w:hAnsi="Alef" w:cs="Alef" w:hint="cs"/>
          <w:b/>
          <w:bCs/>
          <w:rtl/>
        </w:rPr>
        <w:t>עסקיים</w:t>
      </w:r>
      <w:r>
        <w:rPr>
          <w:rFonts w:ascii="Alef" w:hAnsi="Alef" w:cs="Alef" w:hint="cs"/>
          <w:rtl/>
        </w:rPr>
        <w:t xml:space="preserve">, 5001710, </w:t>
      </w:r>
      <w:r w:rsidRPr="00345139">
        <w:rPr>
          <w:rFonts w:ascii="Alef" w:hAnsi="Alef" w:cs="Alef" w:hint="cs"/>
          <w:rtl/>
        </w:rPr>
        <w:t>סעיף</w:t>
      </w:r>
      <w:r w:rsidRPr="005D2E20">
        <w:rPr>
          <w:rFonts w:ascii="Alef" w:hAnsi="Alef" w:cs="Alef" w:hint="cs"/>
          <w:rtl/>
        </w:rPr>
        <w:t xml:space="preserve"> ו. </w:t>
      </w:r>
    </w:p>
  </w:footnote>
  <w:footnote w:id="23">
    <w:p w:rsidR="003B55CE" w:rsidRPr="00287CDC"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w:t>
      </w:r>
      <w:r>
        <w:rPr>
          <w:rFonts w:ascii="Alef" w:hAnsi="Alef" w:cs="Alef" w:hint="cs"/>
          <w:rtl/>
        </w:rPr>
        <w:t xml:space="preserve">גילוי דעת 1/18 בעניין פרשנות סעיף 14(א)(2) וסעיף 15א(א)(2) לחוק ההגבלים העסקיים, תשמ"ח-1988 וסעיפים מקבילים בכללי פטור סוג, </w:t>
      </w:r>
      <w:r w:rsidRPr="00287CDC">
        <w:rPr>
          <w:rFonts w:ascii="Alef" w:hAnsi="Alef" w:cs="Alef" w:hint="cs"/>
          <w:rtl/>
        </w:rPr>
        <w:t>(5.11.2018)</w:t>
      </w:r>
      <w:r>
        <w:rPr>
          <w:rFonts w:ascii="Alef" w:hAnsi="Alef" w:cs="Alef" w:hint="cs"/>
          <w:b/>
          <w:bCs/>
          <w:rtl/>
        </w:rPr>
        <w:t xml:space="preserve"> הגבלים עסקיים, </w:t>
      </w:r>
      <w:r w:rsidRPr="00287CDC">
        <w:rPr>
          <w:rFonts w:ascii="Alef" w:hAnsi="Alef" w:cs="Alef" w:hint="cs"/>
          <w:rtl/>
        </w:rPr>
        <w:t>501593</w:t>
      </w:r>
      <w:r>
        <w:rPr>
          <w:rFonts w:ascii="Alef" w:hAnsi="Alef" w:cs="Alef" w:hint="cs"/>
          <w:rtl/>
        </w:rPr>
        <w:t>.</w:t>
      </w:r>
    </w:p>
  </w:footnote>
  <w:footnote w:id="24">
    <w:p w:rsidR="003B55CE" w:rsidRPr="009F28BD" w:rsidRDefault="003B55CE" w:rsidP="003B55CE">
      <w:pPr>
        <w:pStyle w:val="FootnoteText"/>
        <w:rPr>
          <w:rFonts w:ascii="Alef" w:hAnsi="Alef" w:cs="Alef"/>
          <w:rtl/>
        </w:rPr>
      </w:pPr>
      <w:r w:rsidRPr="009F28BD">
        <w:rPr>
          <w:rStyle w:val="FootnoteReference"/>
          <w:rFonts w:ascii="Alef" w:hAnsi="Alef" w:cs="Alef"/>
        </w:rPr>
        <w:footnoteRef/>
      </w:r>
      <w:r w:rsidRPr="009F28BD">
        <w:rPr>
          <w:rFonts w:ascii="Alef" w:hAnsi="Alef" w:cs="Alef"/>
          <w:rtl/>
        </w:rPr>
        <w:t xml:space="preserve"> ההנחיות הדניות</w:t>
      </w:r>
      <w:r>
        <w:rPr>
          <w:rFonts w:hint="cs"/>
          <w:rtl/>
        </w:rPr>
        <w:t>,</w:t>
      </w:r>
      <w:r w:rsidRPr="009F28BD">
        <w:rPr>
          <w:rFonts w:ascii="Alef" w:hAnsi="Alef" w:cs="Alef"/>
          <w:rtl/>
        </w:rPr>
        <w:t xml:space="preserve"> </w:t>
      </w:r>
      <w:proofErr w:type="spellStart"/>
      <w:r>
        <w:rPr>
          <w:rFonts w:ascii="Alef" w:hAnsi="Alef" w:cs="Alef" w:hint="cs"/>
          <w:rtl/>
        </w:rPr>
        <w:t>ה"ש</w:t>
      </w:r>
      <w:proofErr w:type="spellEnd"/>
      <w:r>
        <w:rPr>
          <w:rFonts w:ascii="Alef" w:hAnsi="Alef" w:cs="Alef" w:hint="cs"/>
          <w:rtl/>
        </w:rPr>
        <w:t xml:space="preserve"> 8 לעיל, </w:t>
      </w:r>
      <w:r w:rsidRPr="009F28BD">
        <w:rPr>
          <w:rFonts w:ascii="Alef" w:hAnsi="Alef" w:cs="Alef"/>
          <w:rtl/>
        </w:rPr>
        <w:t>סעיף 3.1.1</w:t>
      </w:r>
      <w:r>
        <w:rPr>
          <w:rFonts w:ascii="Alef" w:hAnsi="Alef" w:cs="Alef" w:hint="cs"/>
          <w:rtl/>
        </w:rPr>
        <w:t>.</w:t>
      </w:r>
    </w:p>
  </w:footnote>
  <w:footnote w:id="25">
    <w:p w:rsidR="00EC3F2A" w:rsidRDefault="00EC3F2A" w:rsidP="00EC3F2A">
      <w:pPr>
        <w:pStyle w:val="FootnoteText"/>
      </w:pPr>
      <w:r w:rsidRPr="009F28BD">
        <w:rPr>
          <w:rStyle w:val="FootnoteReference"/>
          <w:rFonts w:ascii="Alef" w:hAnsi="Alef" w:cs="Alef"/>
        </w:rPr>
        <w:footnoteRef/>
      </w:r>
      <w:r w:rsidRPr="009F28BD">
        <w:rPr>
          <w:rFonts w:ascii="Alef" w:hAnsi="Alef" w:cs="Alef"/>
          <w:rtl/>
        </w:rPr>
        <w:t xml:space="preserve"> גילוי דעת 1/00 שיתופי פעולה בין מתחרים </w:t>
      </w:r>
      <w:r>
        <w:rPr>
          <w:rFonts w:ascii="Alef" w:hAnsi="Alef" w:cs="Alef" w:hint="cs"/>
          <w:rtl/>
        </w:rPr>
        <w:t xml:space="preserve">בפעולה </w:t>
      </w:r>
      <w:r w:rsidRPr="009F28BD">
        <w:rPr>
          <w:rFonts w:ascii="Alef" w:hAnsi="Alef" w:cs="Alef"/>
          <w:rtl/>
        </w:rPr>
        <w:t>מול רשויות שלטון</w:t>
      </w:r>
      <w:r>
        <w:rPr>
          <w:rFonts w:ascii="Alef" w:hAnsi="Alef" w:cs="Alef" w:hint="cs"/>
          <w:rtl/>
        </w:rPr>
        <w:t xml:space="preserve"> (6.2.2000) </w:t>
      </w:r>
      <w:r w:rsidRPr="00031022">
        <w:rPr>
          <w:rFonts w:ascii="Alef" w:hAnsi="Alef" w:cs="Alef" w:hint="cs"/>
          <w:b/>
          <w:bCs/>
          <w:rtl/>
        </w:rPr>
        <w:t>הגבלים עסקיים</w:t>
      </w:r>
      <w:r>
        <w:rPr>
          <w:rFonts w:ascii="Alef" w:hAnsi="Alef" w:cs="Alef" w:hint="cs"/>
          <w:rtl/>
        </w:rPr>
        <w:t xml:space="preserve">, </w:t>
      </w:r>
      <w:r w:rsidRPr="00031022">
        <w:rPr>
          <w:rFonts w:ascii="Alef" w:hAnsi="Alef" w:cs="Alef"/>
        </w:rPr>
        <w:t>3007119</w:t>
      </w:r>
      <w:r>
        <w:rPr>
          <w:rFonts w:ascii="Alef" w:hAnsi="Alef" w:cs="Alef" w:hint="cs"/>
          <w:rtl/>
        </w:rPr>
        <w:t>;</w:t>
      </w:r>
      <w:r w:rsidRPr="009F28BD">
        <w:rPr>
          <w:rFonts w:ascii="Alef" w:hAnsi="Alef" w:cs="Alef"/>
          <w:rtl/>
        </w:rPr>
        <w:t xml:space="preserve"> ראו גם ההנחיות הדניות</w:t>
      </w:r>
      <w:r>
        <w:rPr>
          <w:rFonts w:ascii="Alef" w:hAnsi="Alef" w:cs="Alef" w:hint="cs"/>
          <w:rtl/>
        </w:rPr>
        <w:t xml:space="preserve">, </w:t>
      </w:r>
      <w:proofErr w:type="spellStart"/>
      <w:r>
        <w:rPr>
          <w:rFonts w:ascii="Alef" w:hAnsi="Alef" w:cs="Alef" w:hint="cs"/>
          <w:rtl/>
        </w:rPr>
        <w:t>ה"ש</w:t>
      </w:r>
      <w:proofErr w:type="spellEnd"/>
      <w:r>
        <w:rPr>
          <w:rFonts w:ascii="Alef" w:hAnsi="Alef" w:cs="Alef" w:hint="cs"/>
          <w:rtl/>
        </w:rPr>
        <w:t xml:space="preserve"> 8 לעיל, פרק4.1. </w:t>
      </w:r>
      <w:r w:rsidRPr="009F28BD">
        <w:rPr>
          <w:rFonts w:ascii="Alef" w:hAnsi="Alef" w:cs="Alef"/>
          <w:rtl/>
        </w:rPr>
        <w:t xml:space="preserve"> </w:t>
      </w:r>
    </w:p>
    <w:p w:rsidR="00EC3F2A" w:rsidRPr="009F28BD" w:rsidRDefault="00EC3F2A" w:rsidP="00EC3F2A">
      <w:pPr>
        <w:pStyle w:val="FootnoteText"/>
        <w:rPr>
          <w:rFonts w:ascii="Alef" w:hAnsi="Alef" w:cs="Alef"/>
          <w:rtl/>
        </w:rPr>
      </w:pPr>
      <w:r w:rsidRPr="009F28BD">
        <w:rPr>
          <w:rFonts w:ascii="Alef" w:hAnsi="Alef" w:cs="Alef"/>
          <w:rtl/>
        </w:rPr>
        <w:t xml:space="preserve">במקרים בהם נחוצה העברת מידע בין מתחרים על מנת לבחון במשותף את עצם חוקיותה של החבירה המשותפת ועל מנת לבחון את העמידה בדרישות גילוי דעת זה, ניתן </w:t>
      </w:r>
      <w:proofErr w:type="spellStart"/>
      <w:r w:rsidRPr="009F28BD">
        <w:rPr>
          <w:rFonts w:ascii="Alef" w:hAnsi="Alef" w:cs="Alef"/>
          <w:rtl/>
        </w:rPr>
        <w:t>להעזר</w:t>
      </w:r>
      <w:proofErr w:type="spellEnd"/>
      <w:r w:rsidRPr="009F28BD">
        <w:rPr>
          <w:rFonts w:ascii="Alef" w:hAnsi="Alef" w:cs="Alef"/>
          <w:rtl/>
        </w:rPr>
        <w:t xml:space="preserve"> בכללים המנחים שנקבעו בגילוי דעת 2/14.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A2" w:rsidRDefault="00F25D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0279219" o:spid="_x0000_s2050" type="#_x0000_t136" style="position:absolute;left:0;text-align:left;margin-left:0;margin-top:0;width:365.95pt;height:219.55pt;rotation:315;z-index:-251651072;mso-position-horizontal:center;mso-position-horizontal-relative:margin;mso-position-vertical:center;mso-position-vertical-relative:margin" o:allowincell="f" fillcolor="silver" stroked="f">
          <v:fill opacity=".5"/>
          <v:textpath style="font-family:&quot;Alef&quot;;font-size:1pt" string="טיוטה"/>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E48" w:rsidRDefault="00F25D0F" w:rsidP="00374F0F">
    <w:pPr>
      <w:pStyle w:val="Header"/>
      <w:rPr>
        <w:noProof/>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0279220" o:spid="_x0000_s2051" type="#_x0000_t136" style="position:absolute;left:0;text-align:left;margin-left:0;margin-top:0;width:365.95pt;height:219.55pt;rotation:315;z-index:-251649024;mso-position-horizontal:center;mso-position-horizontal-relative:margin;mso-position-vertical:center;mso-position-vertical-relative:margin" o:allowincell="f" fillcolor="silver" stroked="f">
          <v:fill opacity=".5"/>
          <v:textpath style="font-family:&quot;Alef&quot;;font-size:1pt" string="טיוטה"/>
          <w10:wrap anchorx="margin" anchory="margin"/>
        </v:shape>
      </w:pict>
    </w:r>
    <w:r w:rsidR="00FC6A0D">
      <w:rPr>
        <w:noProof/>
        <w:rtl/>
      </w:rPr>
      <w:drawing>
        <wp:anchor distT="0" distB="0" distL="114300" distR="114300" simplePos="0" relativeHeight="251660288" behindDoc="1" locked="0" layoutInCell="1" allowOverlap="1" wp14:anchorId="4482A4F8" wp14:editId="62FFA7AA">
          <wp:simplePos x="0" y="0"/>
          <wp:positionH relativeFrom="page">
            <wp:posOffset>-726412</wp:posOffset>
          </wp:positionH>
          <wp:positionV relativeFrom="page">
            <wp:posOffset>-270344</wp:posOffset>
          </wp:positionV>
          <wp:extent cx="8307153" cy="1472540"/>
          <wp:effectExtent l="0" t="0" r="0" b="0"/>
          <wp:wrapSquare wrapText="bothSides"/>
          <wp:docPr id="31" name="תמונה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07153" cy="147254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A2" w:rsidRDefault="00F25D0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0279218" o:spid="_x0000_s2049" type="#_x0000_t136" style="position:absolute;left:0;text-align:left;margin-left:0;margin-top:0;width:365.95pt;height:219.55pt;rotation:315;z-index:-251653120;mso-position-horizontal:center;mso-position-horizontal-relative:margin;mso-position-vertical:center;mso-position-vertical-relative:margin" o:allowincell="f" fillcolor="silver" stroked="f">
          <v:fill opacity=".5"/>
          <v:textpath style="font-family:&quot;Alef&quot;;font-size:1pt" string="טיוטה"/>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0F2F"/>
    <w:multiLevelType w:val="hybridMultilevel"/>
    <w:tmpl w:val="FBBE6812"/>
    <w:lvl w:ilvl="0" w:tplc="C18240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35DBD"/>
    <w:multiLevelType w:val="hybridMultilevel"/>
    <w:tmpl w:val="09601BA4"/>
    <w:lvl w:ilvl="0" w:tplc="587CEDA2">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A892914"/>
    <w:multiLevelType w:val="hybridMultilevel"/>
    <w:tmpl w:val="5C00C492"/>
    <w:lvl w:ilvl="0" w:tplc="39F847D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800F54"/>
    <w:multiLevelType w:val="hybridMultilevel"/>
    <w:tmpl w:val="E766ED26"/>
    <w:lvl w:ilvl="0" w:tplc="B450E0B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165633"/>
    <w:multiLevelType w:val="hybridMultilevel"/>
    <w:tmpl w:val="93768176"/>
    <w:lvl w:ilvl="0" w:tplc="9690A6B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B215E9"/>
    <w:multiLevelType w:val="hybridMultilevel"/>
    <w:tmpl w:val="B0F09B6E"/>
    <w:lvl w:ilvl="0" w:tplc="C0143C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775873"/>
    <w:multiLevelType w:val="hybridMultilevel"/>
    <w:tmpl w:val="EBD62E78"/>
    <w:lvl w:ilvl="0" w:tplc="ED0A202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D479D8"/>
    <w:multiLevelType w:val="hybridMultilevel"/>
    <w:tmpl w:val="4DF05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87538C"/>
    <w:multiLevelType w:val="hybridMultilevel"/>
    <w:tmpl w:val="26B2F92A"/>
    <w:lvl w:ilvl="0" w:tplc="78C470DC">
      <w:start w:val="1"/>
      <w:numFmt w:val="hebrew1"/>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E04B8B"/>
    <w:multiLevelType w:val="hybridMultilevel"/>
    <w:tmpl w:val="1AD49754"/>
    <w:lvl w:ilvl="0" w:tplc="38EE7D8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3C4B9D"/>
    <w:multiLevelType w:val="hybridMultilevel"/>
    <w:tmpl w:val="0122DE74"/>
    <w:lvl w:ilvl="0" w:tplc="2302472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431ABC"/>
    <w:multiLevelType w:val="hybridMultilevel"/>
    <w:tmpl w:val="E702F85C"/>
    <w:lvl w:ilvl="0" w:tplc="579C6F94">
      <w:start w:val="1"/>
      <w:numFmt w:val="hebrew1"/>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B627FE"/>
    <w:multiLevelType w:val="hybridMultilevel"/>
    <w:tmpl w:val="0C08E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275F9C"/>
    <w:multiLevelType w:val="hybridMultilevel"/>
    <w:tmpl w:val="90208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
  </w:num>
  <w:num w:numId="3">
    <w:abstractNumId w:val="7"/>
  </w:num>
  <w:num w:numId="4">
    <w:abstractNumId w:val="4"/>
  </w:num>
  <w:num w:numId="5">
    <w:abstractNumId w:val="9"/>
  </w:num>
  <w:num w:numId="6">
    <w:abstractNumId w:val="5"/>
  </w:num>
  <w:num w:numId="7">
    <w:abstractNumId w:val="13"/>
  </w:num>
  <w:num w:numId="8">
    <w:abstractNumId w:val="8"/>
  </w:num>
  <w:num w:numId="9">
    <w:abstractNumId w:val="3"/>
  </w:num>
  <w:num w:numId="10">
    <w:abstractNumId w:val="2"/>
  </w:num>
  <w:num w:numId="11">
    <w:abstractNumId w:val="11"/>
  </w:num>
  <w:num w:numId="12">
    <w:abstractNumId w:val="6"/>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48"/>
    <w:rsid w:val="000116CA"/>
    <w:rsid w:val="00021E28"/>
    <w:rsid w:val="00024713"/>
    <w:rsid w:val="0003019C"/>
    <w:rsid w:val="00046AA8"/>
    <w:rsid w:val="00050577"/>
    <w:rsid w:val="00054956"/>
    <w:rsid w:val="0006380E"/>
    <w:rsid w:val="00064284"/>
    <w:rsid w:val="00066DE4"/>
    <w:rsid w:val="0008023B"/>
    <w:rsid w:val="00081C4C"/>
    <w:rsid w:val="0008501A"/>
    <w:rsid w:val="000A05F6"/>
    <w:rsid w:val="000A326E"/>
    <w:rsid w:val="000A3DA2"/>
    <w:rsid w:val="000A49E4"/>
    <w:rsid w:val="000C6355"/>
    <w:rsid w:val="001101CE"/>
    <w:rsid w:val="00110AAC"/>
    <w:rsid w:val="00121349"/>
    <w:rsid w:val="00136E3F"/>
    <w:rsid w:val="0014435C"/>
    <w:rsid w:val="00156F6C"/>
    <w:rsid w:val="0016094A"/>
    <w:rsid w:val="00175672"/>
    <w:rsid w:val="001925FD"/>
    <w:rsid w:val="001A0847"/>
    <w:rsid w:val="001A22E8"/>
    <w:rsid w:val="001A65D2"/>
    <w:rsid w:val="001E11F9"/>
    <w:rsid w:val="001E14C3"/>
    <w:rsid w:val="001F1CEB"/>
    <w:rsid w:val="00217A37"/>
    <w:rsid w:val="002226BF"/>
    <w:rsid w:val="00227669"/>
    <w:rsid w:val="002326E8"/>
    <w:rsid w:val="0024363E"/>
    <w:rsid w:val="00245F00"/>
    <w:rsid w:val="00250047"/>
    <w:rsid w:val="00257883"/>
    <w:rsid w:val="00271375"/>
    <w:rsid w:val="00274098"/>
    <w:rsid w:val="00285118"/>
    <w:rsid w:val="002861CD"/>
    <w:rsid w:val="00286315"/>
    <w:rsid w:val="002902A0"/>
    <w:rsid w:val="00292B5E"/>
    <w:rsid w:val="00294B31"/>
    <w:rsid w:val="002A4348"/>
    <w:rsid w:val="002A5CE2"/>
    <w:rsid w:val="002B03DA"/>
    <w:rsid w:val="002C4A12"/>
    <w:rsid w:val="002E28A7"/>
    <w:rsid w:val="002E636B"/>
    <w:rsid w:val="002F69AB"/>
    <w:rsid w:val="003047FB"/>
    <w:rsid w:val="003058C3"/>
    <w:rsid w:val="00312B0B"/>
    <w:rsid w:val="00322DCB"/>
    <w:rsid w:val="0033384F"/>
    <w:rsid w:val="003343F0"/>
    <w:rsid w:val="00341A86"/>
    <w:rsid w:val="00343E82"/>
    <w:rsid w:val="003455C3"/>
    <w:rsid w:val="003571C6"/>
    <w:rsid w:val="003576B4"/>
    <w:rsid w:val="00357945"/>
    <w:rsid w:val="003700EB"/>
    <w:rsid w:val="00373343"/>
    <w:rsid w:val="00374F0F"/>
    <w:rsid w:val="00376193"/>
    <w:rsid w:val="00376790"/>
    <w:rsid w:val="00381C07"/>
    <w:rsid w:val="003A2CBB"/>
    <w:rsid w:val="003A2D92"/>
    <w:rsid w:val="003B2E8E"/>
    <w:rsid w:val="003B55CE"/>
    <w:rsid w:val="003D06D9"/>
    <w:rsid w:val="003E526E"/>
    <w:rsid w:val="003F7B7B"/>
    <w:rsid w:val="00400C8C"/>
    <w:rsid w:val="00410BCC"/>
    <w:rsid w:val="004169B5"/>
    <w:rsid w:val="00427E2B"/>
    <w:rsid w:val="0043339A"/>
    <w:rsid w:val="00434BBB"/>
    <w:rsid w:val="00436779"/>
    <w:rsid w:val="00453078"/>
    <w:rsid w:val="00465A57"/>
    <w:rsid w:val="00467F8F"/>
    <w:rsid w:val="004A6645"/>
    <w:rsid w:val="004C5599"/>
    <w:rsid w:val="004D6677"/>
    <w:rsid w:val="004E0A05"/>
    <w:rsid w:val="004E5B26"/>
    <w:rsid w:val="004E669F"/>
    <w:rsid w:val="004F1935"/>
    <w:rsid w:val="00507C44"/>
    <w:rsid w:val="0051452F"/>
    <w:rsid w:val="00514817"/>
    <w:rsid w:val="005278F2"/>
    <w:rsid w:val="00536262"/>
    <w:rsid w:val="00546D12"/>
    <w:rsid w:val="00546DB3"/>
    <w:rsid w:val="005524D9"/>
    <w:rsid w:val="0058138D"/>
    <w:rsid w:val="0059323E"/>
    <w:rsid w:val="005969BB"/>
    <w:rsid w:val="005B08AF"/>
    <w:rsid w:val="005B5A68"/>
    <w:rsid w:val="005B6781"/>
    <w:rsid w:val="005C542F"/>
    <w:rsid w:val="005D14FA"/>
    <w:rsid w:val="005D1608"/>
    <w:rsid w:val="005D190D"/>
    <w:rsid w:val="005D264A"/>
    <w:rsid w:val="005E3B9F"/>
    <w:rsid w:val="005E597B"/>
    <w:rsid w:val="00611D9A"/>
    <w:rsid w:val="00620004"/>
    <w:rsid w:val="00622EC0"/>
    <w:rsid w:val="00627027"/>
    <w:rsid w:val="00636035"/>
    <w:rsid w:val="00647C2C"/>
    <w:rsid w:val="006507A2"/>
    <w:rsid w:val="0065251B"/>
    <w:rsid w:val="00652794"/>
    <w:rsid w:val="006619AE"/>
    <w:rsid w:val="00664183"/>
    <w:rsid w:val="006663CA"/>
    <w:rsid w:val="0067082F"/>
    <w:rsid w:val="00677D2D"/>
    <w:rsid w:val="00691F20"/>
    <w:rsid w:val="00692D3C"/>
    <w:rsid w:val="00692D6D"/>
    <w:rsid w:val="00697D96"/>
    <w:rsid w:val="006A1550"/>
    <w:rsid w:val="006A2400"/>
    <w:rsid w:val="006A2661"/>
    <w:rsid w:val="006A65DB"/>
    <w:rsid w:val="006B0695"/>
    <w:rsid w:val="006C4C39"/>
    <w:rsid w:val="006D0005"/>
    <w:rsid w:val="006E6D14"/>
    <w:rsid w:val="00702422"/>
    <w:rsid w:val="00704839"/>
    <w:rsid w:val="00712AEB"/>
    <w:rsid w:val="00733165"/>
    <w:rsid w:val="00753F72"/>
    <w:rsid w:val="00776459"/>
    <w:rsid w:val="007852B1"/>
    <w:rsid w:val="00785A17"/>
    <w:rsid w:val="007912A5"/>
    <w:rsid w:val="007921B9"/>
    <w:rsid w:val="007A76FF"/>
    <w:rsid w:val="007A7A71"/>
    <w:rsid w:val="007C01B5"/>
    <w:rsid w:val="007E1142"/>
    <w:rsid w:val="007E1ADC"/>
    <w:rsid w:val="007F6B18"/>
    <w:rsid w:val="0080198F"/>
    <w:rsid w:val="00805B84"/>
    <w:rsid w:val="0081190B"/>
    <w:rsid w:val="008320C4"/>
    <w:rsid w:val="008642FD"/>
    <w:rsid w:val="00873B41"/>
    <w:rsid w:val="00874DCA"/>
    <w:rsid w:val="00880E48"/>
    <w:rsid w:val="00887A40"/>
    <w:rsid w:val="008916E0"/>
    <w:rsid w:val="008B5C2B"/>
    <w:rsid w:val="008C02BD"/>
    <w:rsid w:val="008D4D9C"/>
    <w:rsid w:val="008D5429"/>
    <w:rsid w:val="008E0A50"/>
    <w:rsid w:val="008E3D94"/>
    <w:rsid w:val="008F699C"/>
    <w:rsid w:val="009011C8"/>
    <w:rsid w:val="00912AC2"/>
    <w:rsid w:val="00926326"/>
    <w:rsid w:val="009364F4"/>
    <w:rsid w:val="00936BCC"/>
    <w:rsid w:val="00945DC3"/>
    <w:rsid w:val="00967C24"/>
    <w:rsid w:val="00972BFF"/>
    <w:rsid w:val="0098114D"/>
    <w:rsid w:val="00982FBD"/>
    <w:rsid w:val="00990014"/>
    <w:rsid w:val="009A4227"/>
    <w:rsid w:val="009C2A34"/>
    <w:rsid w:val="009E5DB8"/>
    <w:rsid w:val="009E6CE0"/>
    <w:rsid w:val="009E78A7"/>
    <w:rsid w:val="009F2C6E"/>
    <w:rsid w:val="009F66DC"/>
    <w:rsid w:val="00A0119E"/>
    <w:rsid w:val="00A12B37"/>
    <w:rsid w:val="00A16FCA"/>
    <w:rsid w:val="00A34C0F"/>
    <w:rsid w:val="00A52425"/>
    <w:rsid w:val="00AA5077"/>
    <w:rsid w:val="00AA6B70"/>
    <w:rsid w:val="00AB24E8"/>
    <w:rsid w:val="00AC053E"/>
    <w:rsid w:val="00AD254F"/>
    <w:rsid w:val="00AD3572"/>
    <w:rsid w:val="00AF6E2E"/>
    <w:rsid w:val="00B01D3E"/>
    <w:rsid w:val="00B1056E"/>
    <w:rsid w:val="00B11FC7"/>
    <w:rsid w:val="00B21BF5"/>
    <w:rsid w:val="00B31EFB"/>
    <w:rsid w:val="00B7487B"/>
    <w:rsid w:val="00B90739"/>
    <w:rsid w:val="00B940F4"/>
    <w:rsid w:val="00B9498F"/>
    <w:rsid w:val="00B9571E"/>
    <w:rsid w:val="00BB1897"/>
    <w:rsid w:val="00BB3CA2"/>
    <w:rsid w:val="00BC10E6"/>
    <w:rsid w:val="00BD00D8"/>
    <w:rsid w:val="00BD35B0"/>
    <w:rsid w:val="00BE1018"/>
    <w:rsid w:val="00BF2FDC"/>
    <w:rsid w:val="00C14D86"/>
    <w:rsid w:val="00C21671"/>
    <w:rsid w:val="00C24507"/>
    <w:rsid w:val="00C300C8"/>
    <w:rsid w:val="00C334D3"/>
    <w:rsid w:val="00C50DFD"/>
    <w:rsid w:val="00C5593E"/>
    <w:rsid w:val="00C60087"/>
    <w:rsid w:val="00C72B6E"/>
    <w:rsid w:val="00C80094"/>
    <w:rsid w:val="00C803C5"/>
    <w:rsid w:val="00CA3EFD"/>
    <w:rsid w:val="00CB0694"/>
    <w:rsid w:val="00CB5C1F"/>
    <w:rsid w:val="00CC1B58"/>
    <w:rsid w:val="00CC3546"/>
    <w:rsid w:val="00CD521A"/>
    <w:rsid w:val="00CF126B"/>
    <w:rsid w:val="00D0056C"/>
    <w:rsid w:val="00D236B5"/>
    <w:rsid w:val="00D35460"/>
    <w:rsid w:val="00D51777"/>
    <w:rsid w:val="00D60ADA"/>
    <w:rsid w:val="00D74B48"/>
    <w:rsid w:val="00D83909"/>
    <w:rsid w:val="00D85AA5"/>
    <w:rsid w:val="00D94744"/>
    <w:rsid w:val="00DE0B46"/>
    <w:rsid w:val="00DF177E"/>
    <w:rsid w:val="00E23E69"/>
    <w:rsid w:val="00E270F5"/>
    <w:rsid w:val="00E303D2"/>
    <w:rsid w:val="00E338CF"/>
    <w:rsid w:val="00E43734"/>
    <w:rsid w:val="00E67F93"/>
    <w:rsid w:val="00E760F1"/>
    <w:rsid w:val="00E811EB"/>
    <w:rsid w:val="00E86A4D"/>
    <w:rsid w:val="00E9219E"/>
    <w:rsid w:val="00E950A2"/>
    <w:rsid w:val="00E96DA8"/>
    <w:rsid w:val="00EA08F3"/>
    <w:rsid w:val="00EA4E7E"/>
    <w:rsid w:val="00EA682C"/>
    <w:rsid w:val="00EB084C"/>
    <w:rsid w:val="00EB1739"/>
    <w:rsid w:val="00EB46EE"/>
    <w:rsid w:val="00EC2AF1"/>
    <w:rsid w:val="00EC3F2A"/>
    <w:rsid w:val="00ED1B9E"/>
    <w:rsid w:val="00EF449F"/>
    <w:rsid w:val="00F10686"/>
    <w:rsid w:val="00F25D0F"/>
    <w:rsid w:val="00F27D70"/>
    <w:rsid w:val="00F57DE4"/>
    <w:rsid w:val="00F750DF"/>
    <w:rsid w:val="00F8256C"/>
    <w:rsid w:val="00F946DC"/>
    <w:rsid w:val="00F97FFE"/>
    <w:rsid w:val="00FA5DF4"/>
    <w:rsid w:val="00FB03C1"/>
    <w:rsid w:val="00FB2DE0"/>
    <w:rsid w:val="00FC0014"/>
    <w:rsid w:val="00FC0ABB"/>
    <w:rsid w:val="00FC6A0D"/>
    <w:rsid w:val="00FD4E21"/>
    <w:rsid w:val="00FE576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281012F-617F-47A4-B584-5339E4CD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5CE"/>
    <w:pPr>
      <w:bidi/>
    </w:pPr>
  </w:style>
  <w:style w:type="paragraph" w:styleId="Heading1">
    <w:name w:val="heading 1"/>
    <w:basedOn w:val="Normal"/>
    <w:link w:val="Heading1Char"/>
    <w:uiPriority w:val="9"/>
    <w:qFormat/>
    <w:rsid w:val="003B55CE"/>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3B55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B48"/>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B48"/>
  </w:style>
  <w:style w:type="paragraph" w:styleId="Footer">
    <w:name w:val="footer"/>
    <w:basedOn w:val="Normal"/>
    <w:link w:val="FooterChar"/>
    <w:uiPriority w:val="99"/>
    <w:unhideWhenUsed/>
    <w:rsid w:val="00D74B48"/>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B48"/>
  </w:style>
  <w:style w:type="character" w:styleId="CommentReference">
    <w:name w:val="annotation reference"/>
    <w:uiPriority w:val="99"/>
    <w:semiHidden/>
    <w:unhideWhenUsed/>
    <w:rsid w:val="00EA682C"/>
    <w:rPr>
      <w:sz w:val="16"/>
      <w:szCs w:val="16"/>
    </w:rPr>
  </w:style>
  <w:style w:type="paragraph" w:styleId="CommentText">
    <w:name w:val="annotation text"/>
    <w:basedOn w:val="Normal"/>
    <w:link w:val="CommentTextChar"/>
    <w:uiPriority w:val="99"/>
    <w:semiHidden/>
    <w:unhideWhenUsed/>
    <w:rsid w:val="00EA682C"/>
    <w:pPr>
      <w:bidi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EA682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A682C"/>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EA682C"/>
    <w:rPr>
      <w:rFonts w:ascii="Tahoma" w:hAnsi="Tahoma" w:cs="Tahoma"/>
      <w:sz w:val="18"/>
      <w:szCs w:val="18"/>
    </w:rPr>
  </w:style>
  <w:style w:type="paragraph" w:styleId="CommentSubject">
    <w:name w:val="annotation subject"/>
    <w:basedOn w:val="CommentText"/>
    <w:next w:val="CommentText"/>
    <w:link w:val="CommentSubjectChar"/>
    <w:uiPriority w:val="99"/>
    <w:semiHidden/>
    <w:unhideWhenUsed/>
    <w:rsid w:val="008D5429"/>
    <w:pPr>
      <w:bidi/>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D5429"/>
    <w:rPr>
      <w:rFonts w:ascii="Times New Roman" w:eastAsia="Times New Roman" w:hAnsi="Times New Roman" w:cs="Times New Roman"/>
      <w:b/>
      <w:bCs/>
      <w:sz w:val="20"/>
      <w:szCs w:val="20"/>
    </w:rPr>
  </w:style>
  <w:style w:type="paragraph" w:styleId="BodyText2">
    <w:name w:val="Body Text 2"/>
    <w:basedOn w:val="Normal"/>
    <w:link w:val="BodyText2Char"/>
    <w:uiPriority w:val="99"/>
    <w:unhideWhenUsed/>
    <w:rsid w:val="00FC6A0D"/>
    <w:pPr>
      <w:spacing w:before="120" w:after="240" w:line="276" w:lineRule="auto"/>
      <w:jc w:val="both"/>
    </w:pPr>
    <w:rPr>
      <w:rFonts w:ascii="Times New Roman" w:eastAsia="Times New Roman" w:hAnsi="Times New Roman" w:cs="David"/>
      <w:sz w:val="24"/>
      <w:szCs w:val="24"/>
    </w:rPr>
  </w:style>
  <w:style w:type="character" w:customStyle="1" w:styleId="BodyText2Char">
    <w:name w:val="Body Text 2 Char"/>
    <w:basedOn w:val="DefaultParagraphFont"/>
    <w:link w:val="BodyText2"/>
    <w:uiPriority w:val="99"/>
    <w:rsid w:val="00FC6A0D"/>
    <w:rPr>
      <w:rFonts w:ascii="Times New Roman" w:eastAsia="Times New Roman" w:hAnsi="Times New Roman" w:cs="David"/>
      <w:sz w:val="24"/>
      <w:szCs w:val="24"/>
    </w:rPr>
  </w:style>
  <w:style w:type="character" w:styleId="Hyperlink">
    <w:name w:val="Hyperlink"/>
    <w:basedOn w:val="DefaultParagraphFont"/>
    <w:uiPriority w:val="99"/>
    <w:unhideWhenUsed/>
    <w:rsid w:val="003047FB"/>
    <w:rPr>
      <w:color w:val="0000FF"/>
      <w:u w:val="single"/>
    </w:rPr>
  </w:style>
  <w:style w:type="paragraph" w:styleId="ListParagraph">
    <w:name w:val="List Paragraph"/>
    <w:basedOn w:val="Normal"/>
    <w:link w:val="ListParagraphChar"/>
    <w:uiPriority w:val="34"/>
    <w:qFormat/>
    <w:rsid w:val="003047FB"/>
    <w:pPr>
      <w:spacing w:after="200" w:line="276" w:lineRule="auto"/>
      <w:ind w:left="720"/>
      <w:contextualSpacing/>
    </w:pPr>
  </w:style>
  <w:style w:type="character" w:customStyle="1" w:styleId="ListParagraphChar">
    <w:name w:val="List Paragraph Char"/>
    <w:basedOn w:val="DefaultParagraphFont"/>
    <w:link w:val="ListParagraph"/>
    <w:uiPriority w:val="34"/>
    <w:rsid w:val="00EF449F"/>
  </w:style>
  <w:style w:type="paragraph" w:styleId="FootnoteText">
    <w:name w:val="footnote text"/>
    <w:basedOn w:val="Normal"/>
    <w:link w:val="FootnoteTextChar"/>
    <w:uiPriority w:val="99"/>
    <w:unhideWhenUsed/>
    <w:rsid w:val="00FD4E21"/>
    <w:pPr>
      <w:spacing w:after="0" w:line="240" w:lineRule="auto"/>
      <w:jc w:val="both"/>
    </w:pPr>
    <w:rPr>
      <w:rFonts w:ascii="David" w:eastAsia="Times New Roman" w:hAnsi="David" w:cs="David"/>
      <w:sz w:val="20"/>
      <w:szCs w:val="20"/>
    </w:rPr>
  </w:style>
  <w:style w:type="character" w:customStyle="1" w:styleId="FootnoteTextChar">
    <w:name w:val="Footnote Text Char"/>
    <w:basedOn w:val="DefaultParagraphFont"/>
    <w:link w:val="FootnoteText"/>
    <w:uiPriority w:val="99"/>
    <w:rsid w:val="00FD4E21"/>
    <w:rPr>
      <w:rFonts w:ascii="David" w:eastAsia="Times New Roman" w:hAnsi="David" w:cs="David"/>
      <w:sz w:val="20"/>
      <w:szCs w:val="20"/>
    </w:rPr>
  </w:style>
  <w:style w:type="character" w:styleId="FootnoteReference">
    <w:name w:val="footnote reference"/>
    <w:basedOn w:val="DefaultParagraphFont"/>
    <w:uiPriority w:val="99"/>
    <w:unhideWhenUsed/>
    <w:rsid w:val="00FD4E21"/>
    <w:rPr>
      <w:vertAlign w:val="superscript"/>
    </w:rPr>
  </w:style>
  <w:style w:type="paragraph" w:styleId="Revision">
    <w:name w:val="Revision"/>
    <w:hidden/>
    <w:uiPriority w:val="99"/>
    <w:semiHidden/>
    <w:rsid w:val="005E597B"/>
    <w:pPr>
      <w:spacing w:after="0" w:line="240" w:lineRule="auto"/>
    </w:pPr>
  </w:style>
  <w:style w:type="character" w:customStyle="1" w:styleId="Heading1Char">
    <w:name w:val="Heading 1 Char"/>
    <w:basedOn w:val="DefaultParagraphFont"/>
    <w:link w:val="Heading1"/>
    <w:uiPriority w:val="9"/>
    <w:rsid w:val="003B55C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B55CE"/>
    <w:rPr>
      <w:rFonts w:asciiTheme="majorHAnsi" w:eastAsiaTheme="majorEastAsia" w:hAnsiTheme="majorHAnsi" w:cstheme="majorBidi"/>
      <w:color w:val="2E74B5" w:themeColor="accent1" w:themeShade="BF"/>
      <w:sz w:val="26"/>
      <w:szCs w:val="26"/>
    </w:rPr>
  </w:style>
  <w:style w:type="paragraph" w:customStyle="1" w:styleId="Default">
    <w:name w:val="Default"/>
    <w:rsid w:val="003B55CE"/>
    <w:pPr>
      <w:autoSpaceDE w:val="0"/>
      <w:autoSpaceDN w:val="0"/>
      <w:adjustRightInd w:val="0"/>
      <w:spacing w:after="0" w:line="240" w:lineRule="auto"/>
    </w:pPr>
    <w:rPr>
      <w:rFonts w:ascii="QSKDS Y+ Cambria" w:hAnsi="QSKDS Y+ Cambria" w:cs="QSKDS Y+ 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808219">
      <w:bodyDiv w:val="1"/>
      <w:marLeft w:val="0"/>
      <w:marRight w:val="0"/>
      <w:marTop w:val="0"/>
      <w:marBottom w:val="0"/>
      <w:divBdr>
        <w:top w:val="none" w:sz="0" w:space="0" w:color="auto"/>
        <w:left w:val="none" w:sz="0" w:space="0" w:color="auto"/>
        <w:bottom w:val="none" w:sz="0" w:space="0" w:color="auto"/>
        <w:right w:val="none" w:sz="0" w:space="0" w:color="auto"/>
      </w:divBdr>
    </w:div>
    <w:div w:id="145498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www.oecd.org/competition/cartels/38773965.pdf" TargetMode="External"/><Relationship Id="rId1" Type="http://schemas.openxmlformats.org/officeDocument/2006/relationships/hyperlink" Target="https://www.en.kfst.dk/media/50765/050718_joint-bidding-guideline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BF2DA-A414-42C3-A27A-695FCD7D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5007</Words>
  <Characters>25035</Characters>
  <Application>Microsoft Office Word</Application>
  <DocSecurity>4</DocSecurity>
  <Lines>208</Lines>
  <Paragraphs>59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29983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2019-09-10T09:09:00Z</cp:lastPrinted>
  <dcterms:created xsi:type="dcterms:W3CDTF">2021-01-20T08:12:00Z</dcterms:created>
  <dcterms:modified xsi:type="dcterms:W3CDTF">2021-01-20T08:12:00Z</dcterms:modified>
</cp:coreProperties>
</file>